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D6" w:rsidRPr="001C63B9" w:rsidRDefault="00A956D6" w:rsidP="00A956D6">
      <w:pPr>
        <w:suppressAutoHyphens w:val="0"/>
        <w:jc w:val="right"/>
        <w:rPr>
          <w:rFonts w:eastAsia="MS Mincho"/>
          <w:b/>
          <w:sz w:val="18"/>
          <w:szCs w:val="18"/>
          <w:u w:val="single"/>
        </w:rPr>
      </w:pPr>
      <w:r w:rsidRPr="001C63B9">
        <w:rPr>
          <w:rFonts w:eastAsia="MS Mincho"/>
          <w:b/>
          <w:sz w:val="18"/>
          <w:szCs w:val="18"/>
          <w:u w:val="single"/>
        </w:rPr>
        <w:t>T.D:</w:t>
      </w:r>
      <w:r w:rsidR="00237D3B">
        <w:rPr>
          <w:rFonts w:eastAsia="MS Mincho"/>
          <w:b/>
          <w:sz w:val="18"/>
          <w:szCs w:val="18"/>
          <w:u w:val="single"/>
        </w:rPr>
        <w:t xml:space="preserve"> 11967857</w:t>
      </w:r>
    </w:p>
    <w:p w:rsidR="00A956D6" w:rsidRPr="008F131D" w:rsidRDefault="00A956D6" w:rsidP="00A956D6">
      <w:pPr>
        <w:suppressAutoHyphens w:val="0"/>
        <w:jc w:val="center"/>
        <w:rPr>
          <w:rFonts w:eastAsia="MS Mincho"/>
          <w:szCs w:val="24"/>
        </w:rPr>
      </w:pPr>
    </w:p>
    <w:p w:rsidR="00A956D6" w:rsidRDefault="00A956D6" w:rsidP="00A956D6">
      <w:pPr>
        <w:suppressAutoHyphens w:val="0"/>
        <w:jc w:val="center"/>
        <w:rPr>
          <w:rFonts w:eastAsia="MS Mincho"/>
          <w:b/>
          <w:szCs w:val="24"/>
          <w:u w:val="single"/>
        </w:rPr>
      </w:pPr>
      <w:r w:rsidRPr="00F81CEE">
        <w:rPr>
          <w:rFonts w:eastAsia="MS Mincho"/>
          <w:b/>
          <w:szCs w:val="24"/>
          <w:u w:val="single"/>
        </w:rPr>
        <w:t xml:space="preserve">OPINIÓN Nº </w:t>
      </w:r>
      <w:r w:rsidR="008B39E2">
        <w:rPr>
          <w:rFonts w:eastAsia="MS Mincho"/>
          <w:b/>
          <w:szCs w:val="24"/>
          <w:u w:val="single"/>
        </w:rPr>
        <w:t>006-2018</w:t>
      </w:r>
      <w:r w:rsidRPr="00F81CEE">
        <w:rPr>
          <w:rFonts w:eastAsia="MS Mincho"/>
          <w:b/>
          <w:szCs w:val="24"/>
          <w:u w:val="single"/>
        </w:rPr>
        <w:t>/DTN</w:t>
      </w:r>
    </w:p>
    <w:p w:rsidR="00A956D6" w:rsidRDefault="00A956D6" w:rsidP="00A956D6">
      <w:pPr>
        <w:suppressAutoHyphens w:val="0"/>
        <w:jc w:val="center"/>
        <w:rPr>
          <w:rFonts w:eastAsia="MS Mincho"/>
          <w:b/>
          <w:szCs w:val="24"/>
          <w:u w:val="single"/>
        </w:rPr>
      </w:pPr>
    </w:p>
    <w:p w:rsidR="00A956D6" w:rsidRPr="00F81CEE" w:rsidRDefault="00A956D6" w:rsidP="00A956D6">
      <w:pPr>
        <w:suppressAutoHyphens w:val="0"/>
        <w:rPr>
          <w:rFonts w:eastAsia="MS Mincho"/>
          <w:szCs w:val="24"/>
        </w:rPr>
      </w:pPr>
    </w:p>
    <w:p w:rsidR="00A956D6" w:rsidRPr="00F81CEE" w:rsidRDefault="00A956D6" w:rsidP="00A956D6">
      <w:pPr>
        <w:tabs>
          <w:tab w:val="left" w:pos="2160"/>
        </w:tabs>
        <w:suppressAutoHyphens w:val="0"/>
        <w:ind w:left="2670" w:hanging="2670"/>
        <w:jc w:val="both"/>
        <w:rPr>
          <w:rFonts w:eastAsia="MS Mincho"/>
          <w:szCs w:val="24"/>
        </w:rPr>
      </w:pPr>
      <w:r>
        <w:rPr>
          <w:rFonts w:eastAsia="MS Mincho"/>
          <w:szCs w:val="24"/>
        </w:rPr>
        <w:t>Entidad</w:t>
      </w:r>
      <w:r w:rsidRPr="00F81CEE">
        <w:rPr>
          <w:rFonts w:eastAsia="MS Mincho"/>
          <w:szCs w:val="24"/>
        </w:rPr>
        <w:t>:</w:t>
      </w:r>
      <w:r w:rsidRPr="00F81CEE">
        <w:rPr>
          <w:rFonts w:eastAsia="MS Mincho"/>
          <w:szCs w:val="24"/>
        </w:rPr>
        <w:tab/>
      </w:r>
      <w:r w:rsidR="00237D3B">
        <w:rPr>
          <w:rFonts w:eastAsia="MS Mincho"/>
          <w:szCs w:val="24"/>
        </w:rPr>
        <w:t xml:space="preserve">        Consejo Nacional de la Magistratura</w:t>
      </w:r>
    </w:p>
    <w:p w:rsidR="00A956D6" w:rsidRPr="00F81CEE" w:rsidRDefault="00A956D6" w:rsidP="00A956D6">
      <w:pPr>
        <w:tabs>
          <w:tab w:val="left" w:pos="2160"/>
        </w:tabs>
        <w:suppressAutoHyphens w:val="0"/>
        <w:ind w:left="2880" w:hanging="2880"/>
        <w:jc w:val="both"/>
        <w:rPr>
          <w:rFonts w:eastAsia="MS Mincho"/>
          <w:szCs w:val="24"/>
        </w:rPr>
      </w:pPr>
    </w:p>
    <w:p w:rsidR="00237D3B" w:rsidRDefault="00A956D6" w:rsidP="00237D3B">
      <w:pPr>
        <w:suppressAutoHyphens w:val="0"/>
        <w:ind w:left="2127" w:hanging="2127"/>
        <w:jc w:val="both"/>
        <w:rPr>
          <w:rFonts w:eastAsia="MS Mincho"/>
          <w:szCs w:val="24"/>
        </w:rPr>
      </w:pPr>
      <w:r w:rsidRPr="00F81CEE">
        <w:rPr>
          <w:rFonts w:eastAsia="MS Mincho"/>
          <w:szCs w:val="24"/>
        </w:rPr>
        <w:t>Asunto:</w:t>
      </w:r>
      <w:r w:rsidRPr="00F81CEE">
        <w:rPr>
          <w:rFonts w:eastAsia="MS Mincho"/>
          <w:szCs w:val="24"/>
        </w:rPr>
        <w:tab/>
      </w:r>
      <w:r w:rsidR="00237D3B">
        <w:rPr>
          <w:rFonts w:eastAsia="MS Mincho"/>
          <w:szCs w:val="24"/>
        </w:rPr>
        <w:t xml:space="preserve">         Prestaciones adicionales y ampliaciones de plazo en los </w:t>
      </w:r>
    </w:p>
    <w:p w:rsidR="00A956D6" w:rsidRPr="00F81CEE" w:rsidRDefault="00237D3B" w:rsidP="00237D3B">
      <w:pPr>
        <w:suppressAutoHyphens w:val="0"/>
        <w:ind w:left="2127" w:firstLine="567"/>
        <w:jc w:val="both"/>
        <w:rPr>
          <w:rFonts w:eastAsia="MS Mincho"/>
          <w:szCs w:val="24"/>
        </w:rPr>
      </w:pPr>
      <w:r>
        <w:rPr>
          <w:rFonts w:eastAsia="MS Mincho"/>
          <w:szCs w:val="24"/>
        </w:rPr>
        <w:t>contratos de obra</w:t>
      </w:r>
    </w:p>
    <w:p w:rsidR="00A956D6" w:rsidRPr="00F81CEE" w:rsidRDefault="00A956D6" w:rsidP="00A956D6">
      <w:pPr>
        <w:tabs>
          <w:tab w:val="left" w:pos="2160"/>
        </w:tabs>
        <w:suppressAutoHyphens w:val="0"/>
        <w:ind w:left="2127" w:hanging="2127"/>
        <w:jc w:val="both"/>
        <w:rPr>
          <w:rFonts w:eastAsia="MS Mincho"/>
          <w:szCs w:val="24"/>
        </w:rPr>
      </w:pPr>
    </w:p>
    <w:p w:rsidR="00A956D6" w:rsidRPr="00F81CEE" w:rsidRDefault="00A956D6" w:rsidP="00A956D6">
      <w:pPr>
        <w:pBdr>
          <w:bottom w:val="single" w:sz="12" w:space="1" w:color="auto"/>
        </w:pBdr>
        <w:tabs>
          <w:tab w:val="left" w:pos="2127"/>
        </w:tabs>
        <w:suppressAutoHyphens w:val="0"/>
        <w:ind w:left="2880" w:hanging="2880"/>
        <w:jc w:val="both"/>
        <w:rPr>
          <w:rFonts w:eastAsia="MS Mincho"/>
          <w:szCs w:val="24"/>
          <w:lang w:val="es-ES"/>
        </w:rPr>
      </w:pPr>
      <w:r w:rsidRPr="00F81CEE">
        <w:rPr>
          <w:rFonts w:eastAsia="MS Mincho"/>
          <w:szCs w:val="24"/>
          <w:lang w:val="es-ES"/>
        </w:rPr>
        <w:t>Referencia:</w:t>
      </w:r>
      <w:r w:rsidRPr="00F81CEE">
        <w:rPr>
          <w:rFonts w:eastAsia="MS Mincho"/>
          <w:szCs w:val="24"/>
          <w:lang w:val="es-ES"/>
        </w:rPr>
        <w:tab/>
      </w:r>
      <w:r>
        <w:rPr>
          <w:rFonts w:eastAsia="MS Mincho"/>
          <w:szCs w:val="24"/>
          <w:lang w:val="es-ES"/>
        </w:rPr>
        <w:t xml:space="preserve">         </w:t>
      </w:r>
      <w:r w:rsidR="00237D3B">
        <w:rPr>
          <w:rFonts w:eastAsia="MS Mincho"/>
          <w:szCs w:val="24"/>
          <w:lang w:val="es-ES"/>
        </w:rPr>
        <w:t>Carta N° 000343-2017-PNE/CNM</w:t>
      </w:r>
    </w:p>
    <w:p w:rsidR="00A956D6" w:rsidRPr="00531570" w:rsidRDefault="00A956D6" w:rsidP="00A956D6">
      <w:pPr>
        <w:pBdr>
          <w:bottom w:val="single" w:sz="12" w:space="1" w:color="auto"/>
        </w:pBdr>
        <w:tabs>
          <w:tab w:val="left" w:pos="2160"/>
        </w:tabs>
        <w:suppressAutoHyphens w:val="0"/>
        <w:ind w:left="2880" w:hanging="2880"/>
        <w:jc w:val="both"/>
        <w:rPr>
          <w:rFonts w:eastAsia="MS Mincho"/>
          <w:sz w:val="12"/>
          <w:szCs w:val="12"/>
          <w:lang w:val="es-ES"/>
        </w:rPr>
      </w:pPr>
    </w:p>
    <w:p w:rsidR="00A956D6" w:rsidRPr="00A25D52" w:rsidRDefault="00A956D6" w:rsidP="00F039D1">
      <w:pPr>
        <w:tabs>
          <w:tab w:val="left" w:pos="2694"/>
        </w:tabs>
        <w:suppressAutoHyphens w:val="0"/>
        <w:jc w:val="both"/>
        <w:rPr>
          <w:rFonts w:eastAsia="MS Mincho"/>
          <w:sz w:val="32"/>
          <w:szCs w:val="32"/>
          <w:lang w:val="es-ES"/>
        </w:rPr>
      </w:pPr>
    </w:p>
    <w:p w:rsidR="00A956D6" w:rsidRPr="00A62CAF" w:rsidRDefault="00A956D6" w:rsidP="00A956D6">
      <w:pPr>
        <w:pStyle w:val="Prrafodelista"/>
        <w:widowControl w:val="0"/>
        <w:numPr>
          <w:ilvl w:val="0"/>
          <w:numId w:val="1"/>
        </w:numPr>
        <w:ind w:left="567" w:hanging="567"/>
        <w:jc w:val="both"/>
        <w:rPr>
          <w:rFonts w:eastAsia="MS Mincho"/>
          <w:b/>
          <w:sz w:val="24"/>
          <w:szCs w:val="24"/>
        </w:rPr>
      </w:pPr>
      <w:r w:rsidRPr="00A62CAF">
        <w:rPr>
          <w:rFonts w:eastAsia="MS Mincho"/>
          <w:b/>
          <w:sz w:val="24"/>
          <w:szCs w:val="24"/>
        </w:rPr>
        <w:t>ANTECEDENTES</w:t>
      </w:r>
    </w:p>
    <w:p w:rsidR="00A956D6" w:rsidRPr="00A62CAF" w:rsidRDefault="00A956D6" w:rsidP="00A956D6">
      <w:pPr>
        <w:pStyle w:val="Prrafodelista"/>
        <w:widowControl w:val="0"/>
        <w:ind w:left="0"/>
        <w:jc w:val="both"/>
        <w:rPr>
          <w:rFonts w:eastAsia="MS Mincho"/>
          <w:sz w:val="24"/>
          <w:szCs w:val="24"/>
        </w:rPr>
      </w:pPr>
    </w:p>
    <w:p w:rsidR="00A956D6" w:rsidRDefault="00882B9F" w:rsidP="00A956D6">
      <w:pPr>
        <w:suppressAutoHyphens w:val="0"/>
        <w:jc w:val="both"/>
        <w:rPr>
          <w:rFonts w:eastAsia="MS Mincho"/>
          <w:szCs w:val="24"/>
        </w:rPr>
      </w:pPr>
      <w:r>
        <w:rPr>
          <w:rFonts w:eastAsia="MS Mincho"/>
          <w:szCs w:val="24"/>
        </w:rPr>
        <w:t>Mediante el</w:t>
      </w:r>
      <w:r w:rsidR="00D342BB">
        <w:rPr>
          <w:rFonts w:eastAsia="MS Mincho"/>
          <w:szCs w:val="24"/>
        </w:rPr>
        <w:t xml:space="preserve"> documento de la referencia, </w:t>
      </w:r>
      <w:r w:rsidR="00D342BB">
        <w:rPr>
          <w:rFonts w:eastAsia="MS Mincho"/>
          <w:szCs w:val="24"/>
          <w:lang w:val="es-PE"/>
        </w:rPr>
        <w:t>la Jefa del Proyecto “</w:t>
      </w:r>
      <w:r w:rsidR="00010867">
        <w:rPr>
          <w:rFonts w:eastAsia="MS Mincho"/>
          <w:szCs w:val="24"/>
          <w:lang w:val="es-PE"/>
        </w:rPr>
        <w:t>Nuevo</w:t>
      </w:r>
      <w:r w:rsidR="00D342BB">
        <w:rPr>
          <w:rFonts w:eastAsia="MS Mincho"/>
          <w:szCs w:val="24"/>
          <w:lang w:val="es-PE"/>
        </w:rPr>
        <w:t xml:space="preserve"> Local Institucional” del Consejo Nacional de la Magistratura </w:t>
      </w:r>
      <w:r w:rsidR="00D342BB" w:rsidRPr="00DE42ED">
        <w:rPr>
          <w:szCs w:val="24"/>
          <w:lang w:val="es-PE"/>
        </w:rPr>
        <w:t>consulta</w:t>
      </w:r>
      <w:r w:rsidR="00D342BB" w:rsidRPr="00DE42ED">
        <w:rPr>
          <w:rFonts w:eastAsia="MS Mincho"/>
          <w:szCs w:val="24"/>
          <w:lang w:val="es-PE"/>
        </w:rPr>
        <w:t xml:space="preserve"> sobre</w:t>
      </w:r>
      <w:r w:rsidR="00D342BB">
        <w:rPr>
          <w:rFonts w:eastAsia="MS Mincho"/>
          <w:szCs w:val="24"/>
          <w:lang w:val="es-PE"/>
        </w:rPr>
        <w:t xml:space="preserve"> las prestaciones adicionales y ampliaciones de plazo en los contratos de obra, según lo dispuesto en la anterior normativa de contrataciones del Estado.</w:t>
      </w:r>
    </w:p>
    <w:p w:rsidR="00A956D6" w:rsidRPr="00A62CAF" w:rsidRDefault="00A956D6" w:rsidP="00A956D6">
      <w:pPr>
        <w:suppressAutoHyphens w:val="0"/>
        <w:jc w:val="both"/>
        <w:rPr>
          <w:rFonts w:eastAsia="MS Mincho"/>
          <w:szCs w:val="24"/>
          <w:lang w:val="es-ES"/>
        </w:rPr>
      </w:pPr>
    </w:p>
    <w:p w:rsidR="00A956D6" w:rsidRPr="00A62CAF" w:rsidRDefault="00A956D6" w:rsidP="00A956D6">
      <w:pPr>
        <w:suppressAutoHyphens w:val="0"/>
        <w:jc w:val="both"/>
        <w:rPr>
          <w:szCs w:val="24"/>
          <w:lang w:eastAsia="es-ES"/>
        </w:rPr>
      </w:pPr>
      <w:r w:rsidRPr="00A62CAF">
        <w:rPr>
          <w:szCs w:val="24"/>
          <w:lang w:eastAsia="es-ES"/>
        </w:rPr>
        <w:t xml:space="preserve">Antes de iniciar el desarrollo del presente análisis, </w:t>
      </w:r>
      <w:r w:rsidRPr="00DD6764">
        <w:rPr>
          <w:szCs w:val="24"/>
          <w:lang w:eastAsia="es-ES"/>
        </w:rPr>
        <w:t xml:space="preserve">es necesario precisar que las consultas que absuelve este Organismo </w:t>
      </w:r>
      <w:r>
        <w:rPr>
          <w:szCs w:val="24"/>
          <w:lang w:eastAsia="es-ES"/>
        </w:rPr>
        <w:t>Técnico Especializado</w:t>
      </w:r>
      <w:r w:rsidRPr="00DD6764">
        <w:rPr>
          <w:szCs w:val="24"/>
          <w:lang w:eastAsia="es-ES"/>
        </w:rPr>
        <w:t xml:space="preserve"> son aquellas referidas al sentido y alcance de la normativa de contrataciones del Estado, planteadas sobre temas genéricos y vinculados entre sí, sin hacer alusión a asuntos concretos o específicos, de conformidad c</w:t>
      </w:r>
      <w:r>
        <w:rPr>
          <w:szCs w:val="24"/>
          <w:lang w:eastAsia="es-ES"/>
        </w:rPr>
        <w:t>on lo dispuesto por el literal o</w:t>
      </w:r>
      <w:r w:rsidRPr="00DD6764">
        <w:rPr>
          <w:szCs w:val="24"/>
          <w:lang w:eastAsia="es-ES"/>
        </w:rPr>
        <w:t>) del artículo 5</w:t>
      </w:r>
      <w:r>
        <w:rPr>
          <w:szCs w:val="24"/>
          <w:lang w:eastAsia="es-ES"/>
        </w:rPr>
        <w:t>2</w:t>
      </w:r>
      <w:r w:rsidRPr="00DD6764">
        <w:rPr>
          <w:szCs w:val="24"/>
          <w:lang w:eastAsia="es-ES"/>
        </w:rPr>
        <w:t xml:space="preserve"> de la Ley de Contrataciones del Estado</w:t>
      </w:r>
      <w:r w:rsidRPr="00A62CAF">
        <w:rPr>
          <w:szCs w:val="24"/>
          <w:lang w:eastAsia="es-ES"/>
        </w:rPr>
        <w:t>, aprobada m</w:t>
      </w:r>
      <w:r>
        <w:rPr>
          <w:szCs w:val="24"/>
          <w:lang w:eastAsia="es-ES"/>
        </w:rPr>
        <w:t>ediante Decreto Legislativo Nº 30225</w:t>
      </w:r>
      <w:r w:rsidRPr="00A62CAF">
        <w:rPr>
          <w:szCs w:val="24"/>
          <w:lang w:eastAsia="es-ES"/>
        </w:rPr>
        <w:t xml:space="preserve">, y la </w:t>
      </w:r>
      <w:r>
        <w:rPr>
          <w:szCs w:val="24"/>
          <w:lang w:eastAsia="es-ES"/>
        </w:rPr>
        <w:t>Tercera</w:t>
      </w:r>
      <w:r w:rsidRPr="00A62CAF">
        <w:rPr>
          <w:szCs w:val="24"/>
          <w:lang w:eastAsia="es-ES"/>
        </w:rPr>
        <w:t xml:space="preserve"> Disposición Complementaria Final de su Reglamento, aprobado mediante Decreto Supremo Nº </w:t>
      </w:r>
      <w:r>
        <w:rPr>
          <w:szCs w:val="24"/>
          <w:lang w:eastAsia="es-ES"/>
        </w:rPr>
        <w:t>350-2015-EF.</w:t>
      </w:r>
    </w:p>
    <w:p w:rsidR="00A956D6" w:rsidRPr="00A62CAF" w:rsidRDefault="00A956D6" w:rsidP="00A956D6">
      <w:pPr>
        <w:suppressAutoHyphens w:val="0"/>
        <w:jc w:val="both"/>
        <w:rPr>
          <w:szCs w:val="24"/>
          <w:lang w:eastAsia="es-ES"/>
        </w:rPr>
      </w:pPr>
    </w:p>
    <w:p w:rsidR="00A956D6" w:rsidRPr="00AC2ECE" w:rsidRDefault="00A956D6" w:rsidP="00A956D6">
      <w:pPr>
        <w:suppressAutoHyphens w:val="0"/>
        <w:jc w:val="both"/>
        <w:rPr>
          <w:szCs w:val="24"/>
          <w:lang w:eastAsia="es-ES"/>
        </w:rPr>
      </w:pPr>
      <w:r w:rsidRPr="00A62CAF">
        <w:rPr>
          <w:szCs w:val="24"/>
          <w:lang w:eastAsia="es-ES"/>
        </w:rPr>
        <w:t>En e</w:t>
      </w:r>
      <w:r>
        <w:rPr>
          <w:szCs w:val="24"/>
          <w:lang w:eastAsia="es-ES"/>
        </w:rPr>
        <w:t>se sentido, las conclusiones</w:t>
      </w:r>
      <w:r w:rsidRPr="00A62CAF">
        <w:rPr>
          <w:szCs w:val="24"/>
          <w:lang w:eastAsia="es-ES"/>
        </w:rPr>
        <w:t xml:space="preserve"> de la presente opinión </w:t>
      </w:r>
      <w:r>
        <w:rPr>
          <w:szCs w:val="24"/>
          <w:u w:val="single"/>
          <w:lang w:eastAsia="es-ES"/>
        </w:rPr>
        <w:t xml:space="preserve">no se encuentran vinculadas </w:t>
      </w:r>
      <w:r w:rsidRPr="00A62CAF">
        <w:rPr>
          <w:szCs w:val="24"/>
          <w:u w:val="single"/>
          <w:lang w:eastAsia="es-ES"/>
        </w:rPr>
        <w:t>necesariamente a situación particular alguna</w:t>
      </w:r>
      <w:r w:rsidRPr="00A62CAF">
        <w:rPr>
          <w:szCs w:val="24"/>
          <w:lang w:eastAsia="es-ES"/>
        </w:rPr>
        <w:t>.</w:t>
      </w:r>
    </w:p>
    <w:p w:rsidR="00A956D6" w:rsidRPr="00A25D52" w:rsidRDefault="00A956D6" w:rsidP="00A956D6">
      <w:pPr>
        <w:suppressAutoHyphens w:val="0"/>
        <w:jc w:val="both"/>
        <w:rPr>
          <w:rFonts w:eastAsia="MS Mincho"/>
          <w:sz w:val="32"/>
          <w:szCs w:val="32"/>
        </w:rPr>
      </w:pPr>
    </w:p>
    <w:p w:rsidR="00A956D6" w:rsidRPr="00A62CAF" w:rsidRDefault="00A956D6" w:rsidP="00A956D6">
      <w:pPr>
        <w:pStyle w:val="Prrafodelista"/>
        <w:widowControl w:val="0"/>
        <w:numPr>
          <w:ilvl w:val="0"/>
          <w:numId w:val="1"/>
        </w:numPr>
        <w:ind w:left="567" w:hanging="567"/>
        <w:jc w:val="both"/>
        <w:rPr>
          <w:rFonts w:eastAsia="MS Mincho"/>
          <w:b/>
          <w:sz w:val="24"/>
          <w:szCs w:val="24"/>
        </w:rPr>
      </w:pPr>
      <w:r w:rsidRPr="00A62CAF">
        <w:rPr>
          <w:rFonts w:eastAsia="MS Mincho"/>
          <w:b/>
          <w:sz w:val="24"/>
          <w:szCs w:val="24"/>
        </w:rPr>
        <w:t>CONSULTA</w:t>
      </w:r>
      <w:r>
        <w:rPr>
          <w:rFonts w:eastAsia="MS Mincho"/>
          <w:b/>
          <w:sz w:val="24"/>
          <w:szCs w:val="24"/>
        </w:rPr>
        <w:t>S</w:t>
      </w:r>
      <w:r w:rsidRPr="00A62CAF">
        <w:rPr>
          <w:rFonts w:eastAsia="MS Mincho"/>
          <w:b/>
          <w:sz w:val="24"/>
          <w:szCs w:val="24"/>
        </w:rPr>
        <w:t xml:space="preserve"> Y ANÁLISIS</w:t>
      </w:r>
    </w:p>
    <w:p w:rsidR="00A956D6" w:rsidRPr="00A62CAF" w:rsidRDefault="00A956D6" w:rsidP="00A956D6">
      <w:pPr>
        <w:pStyle w:val="Prrafodelista"/>
        <w:widowControl w:val="0"/>
        <w:ind w:left="0"/>
        <w:jc w:val="both"/>
        <w:rPr>
          <w:rFonts w:eastAsia="MS Mincho"/>
          <w:sz w:val="24"/>
          <w:szCs w:val="24"/>
        </w:rPr>
      </w:pPr>
    </w:p>
    <w:p w:rsidR="00A956D6" w:rsidRDefault="00A956D6" w:rsidP="00A956D6">
      <w:pPr>
        <w:suppressAutoHyphens w:val="0"/>
        <w:jc w:val="both"/>
        <w:rPr>
          <w:rFonts w:eastAsia="MS Mincho"/>
          <w:szCs w:val="24"/>
        </w:rPr>
      </w:pPr>
      <w:r w:rsidRPr="00E76004">
        <w:rPr>
          <w:rFonts w:eastAsia="MS Mincho"/>
          <w:szCs w:val="24"/>
        </w:rPr>
        <w:t>De forma previa, es preciso señalar que la</w:t>
      </w:r>
      <w:r>
        <w:rPr>
          <w:rFonts w:eastAsia="MS Mincho"/>
          <w:szCs w:val="24"/>
        </w:rPr>
        <w:t>s</w:t>
      </w:r>
      <w:r w:rsidRPr="00E76004">
        <w:rPr>
          <w:rFonts w:eastAsia="MS Mincho"/>
          <w:szCs w:val="24"/>
        </w:rPr>
        <w:t xml:space="preserve"> presente</w:t>
      </w:r>
      <w:r>
        <w:rPr>
          <w:rFonts w:eastAsia="MS Mincho"/>
          <w:szCs w:val="24"/>
        </w:rPr>
        <w:t>s</w:t>
      </w:r>
      <w:r w:rsidRPr="00E76004">
        <w:rPr>
          <w:rFonts w:eastAsia="MS Mincho"/>
          <w:szCs w:val="24"/>
        </w:rPr>
        <w:t xml:space="preserve"> consulta</w:t>
      </w:r>
      <w:r>
        <w:rPr>
          <w:rFonts w:eastAsia="MS Mincho"/>
          <w:szCs w:val="24"/>
        </w:rPr>
        <w:t>s</w:t>
      </w:r>
      <w:r w:rsidRPr="00E76004">
        <w:rPr>
          <w:rFonts w:eastAsia="MS Mincho"/>
          <w:szCs w:val="24"/>
        </w:rPr>
        <w:t xml:space="preserve"> se encuentra</w:t>
      </w:r>
      <w:r>
        <w:rPr>
          <w:rFonts w:eastAsia="MS Mincho"/>
          <w:szCs w:val="24"/>
        </w:rPr>
        <w:t>n</w:t>
      </w:r>
      <w:r w:rsidRPr="00E76004">
        <w:rPr>
          <w:rFonts w:eastAsia="MS Mincho"/>
          <w:szCs w:val="24"/>
        </w:rPr>
        <w:t xml:space="preserve"> vinculada</w:t>
      </w:r>
      <w:r>
        <w:rPr>
          <w:rFonts w:eastAsia="MS Mincho"/>
          <w:szCs w:val="24"/>
        </w:rPr>
        <w:t>s</w:t>
      </w:r>
      <w:r w:rsidRPr="00E76004">
        <w:rPr>
          <w:rFonts w:eastAsia="MS Mincho"/>
          <w:szCs w:val="24"/>
        </w:rPr>
        <w:t xml:space="preserve"> a la aplicación de la Ley de Contrataciones del Estado, aprobada mediante Decreto Legisl</w:t>
      </w:r>
      <w:r>
        <w:rPr>
          <w:rFonts w:eastAsia="MS Mincho"/>
          <w:szCs w:val="24"/>
        </w:rPr>
        <w:t>ativo Nº 1017 (en adelante, la “anterior Ley”</w:t>
      </w:r>
      <w:r w:rsidRPr="00E76004">
        <w:rPr>
          <w:rFonts w:eastAsia="MS Mincho"/>
          <w:szCs w:val="24"/>
        </w:rPr>
        <w:t>), y su Reglamento, aprobado mediante Decreto Supremo N</w:t>
      </w:r>
      <w:r>
        <w:rPr>
          <w:rFonts w:eastAsia="MS Mincho"/>
          <w:szCs w:val="24"/>
        </w:rPr>
        <w:t>º 184-2008-EF (en adelante, el “anterior Reglamento”)</w:t>
      </w:r>
      <w:r w:rsidRPr="00E76004">
        <w:rPr>
          <w:rFonts w:eastAsia="MS Mincho"/>
          <w:szCs w:val="24"/>
          <w:vertAlign w:val="superscript"/>
        </w:rPr>
        <w:footnoteReference w:id="1"/>
      </w:r>
      <w:r w:rsidRPr="00E76004">
        <w:rPr>
          <w:rFonts w:eastAsia="MS Mincho"/>
          <w:szCs w:val="24"/>
        </w:rPr>
        <w:t>; por tanto, será</w:t>
      </w:r>
      <w:r>
        <w:rPr>
          <w:rFonts w:eastAsia="MS Mincho"/>
          <w:szCs w:val="24"/>
        </w:rPr>
        <w:t>n</w:t>
      </w:r>
      <w:r w:rsidRPr="00E76004">
        <w:rPr>
          <w:rFonts w:eastAsia="MS Mincho"/>
          <w:szCs w:val="24"/>
        </w:rPr>
        <w:t xml:space="preserve"> absuelta</w:t>
      </w:r>
      <w:r>
        <w:rPr>
          <w:rFonts w:eastAsia="MS Mincho"/>
          <w:szCs w:val="24"/>
        </w:rPr>
        <w:t>s</w:t>
      </w:r>
      <w:r w:rsidRPr="00E76004">
        <w:rPr>
          <w:rFonts w:eastAsia="MS Mincho"/>
          <w:szCs w:val="24"/>
        </w:rPr>
        <w:t xml:space="preserve"> bajo sus alcances. </w:t>
      </w:r>
    </w:p>
    <w:p w:rsidR="00A956D6" w:rsidRDefault="00A956D6" w:rsidP="00A956D6">
      <w:pPr>
        <w:suppressAutoHyphens w:val="0"/>
        <w:jc w:val="both"/>
        <w:rPr>
          <w:rFonts w:eastAsia="MS Mincho"/>
          <w:szCs w:val="24"/>
        </w:rPr>
      </w:pPr>
    </w:p>
    <w:p w:rsidR="00A956D6" w:rsidRDefault="00A956D6" w:rsidP="00A956D6">
      <w:pPr>
        <w:suppressAutoHyphens w:val="0"/>
        <w:jc w:val="both"/>
        <w:rPr>
          <w:rFonts w:eastAsia="MS Mincho"/>
          <w:szCs w:val="24"/>
          <w:lang w:val="es-PE"/>
        </w:rPr>
      </w:pPr>
      <w:r w:rsidRPr="00E76004">
        <w:rPr>
          <w:rFonts w:eastAsia="MS Mincho"/>
          <w:szCs w:val="24"/>
        </w:rPr>
        <w:t>La</w:t>
      </w:r>
      <w:r>
        <w:rPr>
          <w:rFonts w:eastAsia="MS Mincho"/>
          <w:szCs w:val="24"/>
        </w:rPr>
        <w:t>s</w:t>
      </w:r>
      <w:r w:rsidRPr="00E76004">
        <w:rPr>
          <w:rFonts w:eastAsia="MS Mincho"/>
          <w:szCs w:val="24"/>
        </w:rPr>
        <w:t xml:space="preserve"> consulta</w:t>
      </w:r>
      <w:r>
        <w:rPr>
          <w:rFonts w:eastAsia="MS Mincho"/>
          <w:szCs w:val="24"/>
        </w:rPr>
        <w:t>s</w:t>
      </w:r>
      <w:r w:rsidRPr="00E76004">
        <w:rPr>
          <w:rFonts w:eastAsia="MS Mincho"/>
          <w:szCs w:val="24"/>
        </w:rPr>
        <w:t xml:space="preserve"> formuladas </w:t>
      </w:r>
      <w:r>
        <w:rPr>
          <w:rFonts w:eastAsia="MS Mincho"/>
          <w:szCs w:val="24"/>
        </w:rPr>
        <w:t xml:space="preserve">son </w:t>
      </w:r>
      <w:r w:rsidRPr="00E76004">
        <w:rPr>
          <w:rFonts w:eastAsia="MS Mincho"/>
          <w:szCs w:val="24"/>
        </w:rPr>
        <w:t>la</w:t>
      </w:r>
      <w:r>
        <w:rPr>
          <w:rFonts w:eastAsia="MS Mincho"/>
          <w:szCs w:val="24"/>
        </w:rPr>
        <w:t>s</w:t>
      </w:r>
      <w:r w:rsidRPr="00E76004">
        <w:rPr>
          <w:rFonts w:eastAsia="MS Mincho"/>
          <w:szCs w:val="24"/>
        </w:rPr>
        <w:t xml:space="preserve"> siguiente</w:t>
      </w:r>
      <w:r>
        <w:rPr>
          <w:rFonts w:eastAsia="MS Mincho"/>
          <w:szCs w:val="24"/>
        </w:rPr>
        <w:t>s</w:t>
      </w:r>
      <w:r w:rsidRPr="00E76004">
        <w:rPr>
          <w:rFonts w:eastAsia="MS Mincho"/>
          <w:szCs w:val="24"/>
        </w:rPr>
        <w:t>:</w:t>
      </w:r>
    </w:p>
    <w:p w:rsidR="00A956D6" w:rsidRPr="00346F4F" w:rsidRDefault="00A956D6" w:rsidP="00A956D6">
      <w:pPr>
        <w:suppressAutoHyphens w:val="0"/>
        <w:jc w:val="both"/>
        <w:rPr>
          <w:rFonts w:eastAsia="MS Mincho"/>
          <w:szCs w:val="24"/>
        </w:rPr>
      </w:pPr>
    </w:p>
    <w:p w:rsidR="00A956D6" w:rsidRPr="00881E03" w:rsidRDefault="00A956D6" w:rsidP="0021662F">
      <w:pPr>
        <w:pStyle w:val="Prrafodelista"/>
        <w:numPr>
          <w:ilvl w:val="1"/>
          <w:numId w:val="1"/>
        </w:numPr>
        <w:ind w:left="567" w:hanging="567"/>
        <w:jc w:val="both"/>
        <w:rPr>
          <w:rFonts w:eastAsia="MS Mincho"/>
          <w:b/>
          <w:i/>
          <w:szCs w:val="24"/>
          <w:lang w:val="es-PE"/>
        </w:rPr>
      </w:pPr>
      <w:r w:rsidRPr="00881E03">
        <w:rPr>
          <w:rFonts w:eastAsia="MS Mincho"/>
          <w:b/>
          <w:sz w:val="24"/>
          <w:szCs w:val="24"/>
          <w:lang w:val="es-PE"/>
        </w:rPr>
        <w:t>“</w:t>
      </w:r>
      <w:r w:rsidR="00010867" w:rsidRPr="00881E03">
        <w:rPr>
          <w:rFonts w:eastAsia="MS Mincho"/>
          <w:b/>
          <w:i/>
          <w:sz w:val="24"/>
          <w:szCs w:val="24"/>
          <w:lang w:val="es-PE"/>
        </w:rPr>
        <w:t>Una entidad aprueba una ampliación de plazo para la ejecución de un prestación adicional de obra y notifica al contratista ¿cuándo se debe de contabilizar la ampliación de plazo concedida a partir del día siguiente de la fecha de término de obra vigente o se debe de realizar un análisis considerando para ello solo las partidas que se han visto afectadas y en armonía con la ampliación de plazo concedida, para poder definir la nueva fecha de término de obra?</w:t>
      </w:r>
      <w:r w:rsidRPr="00881E03">
        <w:rPr>
          <w:rFonts w:eastAsia="MS Mincho"/>
          <w:b/>
          <w:sz w:val="24"/>
          <w:szCs w:val="24"/>
          <w:lang w:val="es-PE"/>
        </w:rPr>
        <w:t>”</w:t>
      </w:r>
      <w:r w:rsidRPr="00881E03">
        <w:rPr>
          <w:rFonts w:eastAsia="MS Mincho"/>
          <w:b/>
          <w:i/>
          <w:sz w:val="24"/>
          <w:szCs w:val="24"/>
        </w:rPr>
        <w:t xml:space="preserve"> </w:t>
      </w:r>
      <w:r w:rsidRPr="00881E03">
        <w:rPr>
          <w:rFonts w:eastAsia="MS Mincho"/>
          <w:sz w:val="24"/>
          <w:szCs w:val="24"/>
        </w:rPr>
        <w:t>(sic).</w:t>
      </w:r>
    </w:p>
    <w:p w:rsidR="005B4F67" w:rsidRPr="005B4F67" w:rsidRDefault="00A956D6" w:rsidP="005B4F67">
      <w:pPr>
        <w:pStyle w:val="Prrafodelista"/>
        <w:tabs>
          <w:tab w:val="left" w:pos="567"/>
        </w:tabs>
        <w:ind w:left="567" w:hanging="567"/>
        <w:jc w:val="both"/>
        <w:rPr>
          <w:sz w:val="24"/>
          <w:szCs w:val="24"/>
        </w:rPr>
      </w:pPr>
      <w:r w:rsidRPr="005B4F67">
        <w:rPr>
          <w:rFonts w:eastAsia="MS Mincho"/>
          <w:sz w:val="24"/>
          <w:szCs w:val="24"/>
          <w:lang w:val="es-PE"/>
        </w:rPr>
        <w:lastRenderedPageBreak/>
        <w:t>2.1.1</w:t>
      </w:r>
      <w:r w:rsidRPr="005B4F67">
        <w:rPr>
          <w:rFonts w:eastAsia="MS Mincho"/>
          <w:sz w:val="24"/>
          <w:szCs w:val="24"/>
          <w:lang w:val="es-PE"/>
        </w:rPr>
        <w:tab/>
      </w:r>
      <w:r w:rsidR="005B4F67" w:rsidRPr="005B4F67">
        <w:rPr>
          <w:sz w:val="24"/>
          <w:szCs w:val="24"/>
        </w:rPr>
        <w:t>En primer lugar, debe señalarse que el numeral 41.6 del artículo 41 de la anterior Ley establecía que “</w:t>
      </w:r>
      <w:r w:rsidR="005B4F67" w:rsidRPr="005B4F67">
        <w:rPr>
          <w:i/>
          <w:sz w:val="24"/>
          <w:szCs w:val="24"/>
        </w:rPr>
        <w:t>El contratista puede solicitar la ampliación del plazo pactado por atrasos y paralizaciones ajenas a su voluntad debidamente comprobados y que modifiquen el cronograma contractual.</w:t>
      </w:r>
      <w:r w:rsidR="005B4F67" w:rsidRPr="005B4F67">
        <w:rPr>
          <w:sz w:val="24"/>
          <w:szCs w:val="24"/>
        </w:rPr>
        <w:t>”</w:t>
      </w:r>
    </w:p>
    <w:p w:rsidR="005B4F67" w:rsidRPr="005B4F67" w:rsidRDefault="005B4F67" w:rsidP="005B4F67">
      <w:pPr>
        <w:pStyle w:val="Prrafodelista"/>
        <w:tabs>
          <w:tab w:val="left" w:pos="567"/>
        </w:tabs>
        <w:ind w:left="567" w:hanging="567"/>
        <w:jc w:val="both"/>
        <w:rPr>
          <w:sz w:val="24"/>
          <w:szCs w:val="24"/>
        </w:rPr>
      </w:pPr>
    </w:p>
    <w:p w:rsidR="001432C7" w:rsidRPr="001432C7" w:rsidRDefault="005B4F67" w:rsidP="001432C7">
      <w:pPr>
        <w:pStyle w:val="Prrafodelista"/>
        <w:tabs>
          <w:tab w:val="left" w:pos="567"/>
        </w:tabs>
        <w:ind w:left="567" w:hanging="567"/>
        <w:jc w:val="both"/>
        <w:rPr>
          <w:sz w:val="24"/>
          <w:szCs w:val="24"/>
        </w:rPr>
      </w:pPr>
      <w:r w:rsidRPr="005B4F67">
        <w:rPr>
          <w:sz w:val="24"/>
          <w:szCs w:val="24"/>
        </w:rPr>
        <w:tab/>
        <w:t xml:space="preserve">Por su parte, el artículo 200 del anterior Reglamento señalaba que, de conformidad con el artículo 41 de la anterior Ley, el contratista podía solicitar la ampliación de plazo pactado por cualquiera de las siguientes causales, </w:t>
      </w:r>
      <w:r w:rsidRPr="005B4F67">
        <w:rPr>
          <w:sz w:val="24"/>
          <w:szCs w:val="24"/>
          <w:u w:val="single"/>
        </w:rPr>
        <w:t>siempre que modificaran la ruta crítica del programa de ejecución de obra vigente al momento de la solicitud de ampliación</w:t>
      </w:r>
      <w:r w:rsidRPr="005B4F67">
        <w:rPr>
          <w:sz w:val="24"/>
          <w:szCs w:val="24"/>
        </w:rPr>
        <w:t xml:space="preserve">: (i) </w:t>
      </w:r>
      <w:r>
        <w:rPr>
          <w:sz w:val="24"/>
          <w:szCs w:val="24"/>
        </w:rPr>
        <w:t>a</w:t>
      </w:r>
      <w:r w:rsidRPr="005B4F67">
        <w:rPr>
          <w:sz w:val="24"/>
          <w:szCs w:val="24"/>
        </w:rPr>
        <w:t xml:space="preserve">trasos y/o paralizaciones por causas no atribuibles al contratista; (ii) </w:t>
      </w:r>
      <w:r>
        <w:rPr>
          <w:sz w:val="24"/>
          <w:szCs w:val="24"/>
        </w:rPr>
        <w:t>a</w:t>
      </w:r>
      <w:r w:rsidRPr="005B4F67">
        <w:rPr>
          <w:sz w:val="24"/>
          <w:szCs w:val="24"/>
        </w:rPr>
        <w:t xml:space="preserve">trasos y/o paralizaciones en el cumplimiento de sus prestaciones por causas atribuibles a la Entidad; (iii) </w:t>
      </w:r>
      <w:r>
        <w:rPr>
          <w:sz w:val="24"/>
          <w:szCs w:val="24"/>
        </w:rPr>
        <w:t>c</w:t>
      </w:r>
      <w:r w:rsidRPr="005B4F67">
        <w:rPr>
          <w:sz w:val="24"/>
          <w:szCs w:val="24"/>
        </w:rPr>
        <w:t>aso fortuito o fuerza mayor debidamente comprobado; y, (iv)</w:t>
      </w:r>
      <w:r>
        <w:rPr>
          <w:sz w:val="24"/>
          <w:szCs w:val="24"/>
        </w:rPr>
        <w:t xml:space="preserve"> </w:t>
      </w:r>
      <w:r w:rsidRPr="005B4F67">
        <w:rPr>
          <w:sz w:val="24"/>
          <w:szCs w:val="24"/>
          <w:u w:val="single"/>
        </w:rPr>
        <w:t>cuando se aprueba la prestación adicional de obra</w:t>
      </w:r>
      <w:r w:rsidRPr="005B4F67">
        <w:rPr>
          <w:sz w:val="24"/>
          <w:szCs w:val="24"/>
        </w:rPr>
        <w:t>.</w:t>
      </w:r>
    </w:p>
    <w:p w:rsidR="005B4F67" w:rsidRPr="005B4F67" w:rsidRDefault="005B4F67" w:rsidP="005B4F67">
      <w:pPr>
        <w:pStyle w:val="Prrafodelista"/>
        <w:tabs>
          <w:tab w:val="left" w:pos="567"/>
        </w:tabs>
        <w:ind w:left="567" w:hanging="567"/>
        <w:jc w:val="both"/>
        <w:rPr>
          <w:sz w:val="24"/>
          <w:szCs w:val="24"/>
        </w:rPr>
      </w:pPr>
    </w:p>
    <w:p w:rsidR="00A956D6" w:rsidRDefault="005B4F67" w:rsidP="00A4333A">
      <w:pPr>
        <w:widowControl/>
        <w:suppressAutoHyphens w:val="0"/>
        <w:autoSpaceDE w:val="0"/>
        <w:autoSpaceDN w:val="0"/>
        <w:adjustRightInd w:val="0"/>
        <w:ind w:left="567" w:hanging="567"/>
        <w:jc w:val="both"/>
        <w:rPr>
          <w:szCs w:val="24"/>
        </w:rPr>
      </w:pPr>
      <w:r w:rsidRPr="005B4F67">
        <w:rPr>
          <w:szCs w:val="24"/>
        </w:rPr>
        <w:tab/>
        <w:t xml:space="preserve">Como se aprecia, la anterior normativa de contrataciones del Estado preveía determinados supuestos </w:t>
      </w:r>
      <w:r w:rsidRPr="005B4F67">
        <w:rPr>
          <w:szCs w:val="24"/>
          <w:u w:val="single"/>
        </w:rPr>
        <w:t>ajenos a la voluntad del contratista</w:t>
      </w:r>
      <w:r w:rsidRPr="005B4F67">
        <w:rPr>
          <w:szCs w:val="24"/>
        </w:rPr>
        <w:t xml:space="preserve"> que </w:t>
      </w:r>
      <w:r w:rsidR="00B40828">
        <w:rPr>
          <w:szCs w:val="24"/>
        </w:rPr>
        <w:t xml:space="preserve">le </w:t>
      </w:r>
      <w:r w:rsidR="00A62232">
        <w:rPr>
          <w:szCs w:val="24"/>
        </w:rPr>
        <w:t xml:space="preserve">permitían </w:t>
      </w:r>
      <w:r w:rsidR="00B40828">
        <w:rPr>
          <w:szCs w:val="24"/>
        </w:rPr>
        <w:t>solicitar</w:t>
      </w:r>
      <w:r w:rsidR="00A62232">
        <w:rPr>
          <w:szCs w:val="24"/>
        </w:rPr>
        <w:t xml:space="preserve"> la ampliación del plazo </w:t>
      </w:r>
      <w:r w:rsidR="00851722">
        <w:rPr>
          <w:szCs w:val="24"/>
        </w:rPr>
        <w:t>de ejecución de la obra</w:t>
      </w:r>
      <w:r w:rsidR="00A62232">
        <w:rPr>
          <w:szCs w:val="24"/>
        </w:rPr>
        <w:t xml:space="preserve">; así, </w:t>
      </w:r>
      <w:r w:rsidR="00B40828">
        <w:rPr>
          <w:szCs w:val="24"/>
        </w:rPr>
        <w:t>la Entidad podía</w:t>
      </w:r>
      <w:r w:rsidR="00B40828" w:rsidRPr="005B4F67">
        <w:rPr>
          <w:szCs w:val="24"/>
        </w:rPr>
        <w:t xml:space="preserve"> otorgar la ampliación de</w:t>
      </w:r>
      <w:r w:rsidR="00851722">
        <w:rPr>
          <w:szCs w:val="24"/>
        </w:rPr>
        <w:t>l</w:t>
      </w:r>
      <w:r w:rsidR="00B40828" w:rsidRPr="005B4F67">
        <w:rPr>
          <w:szCs w:val="24"/>
        </w:rPr>
        <w:t xml:space="preserve"> plazo</w:t>
      </w:r>
      <w:r w:rsidR="00B40828">
        <w:rPr>
          <w:szCs w:val="24"/>
        </w:rPr>
        <w:t xml:space="preserve"> </w:t>
      </w:r>
      <w:r w:rsidR="00851722">
        <w:rPr>
          <w:szCs w:val="24"/>
        </w:rPr>
        <w:t xml:space="preserve">contractual </w:t>
      </w:r>
      <w:r w:rsidR="00A62232">
        <w:rPr>
          <w:szCs w:val="24"/>
        </w:rPr>
        <w:t>ante la aprobación de una prestación adicional</w:t>
      </w:r>
      <w:r w:rsidRPr="005B4F67">
        <w:rPr>
          <w:szCs w:val="24"/>
        </w:rPr>
        <w:t xml:space="preserve">, </w:t>
      </w:r>
      <w:r w:rsidRPr="00851722">
        <w:rPr>
          <w:szCs w:val="24"/>
          <w:u w:val="single"/>
        </w:rPr>
        <w:t xml:space="preserve">siempre </w:t>
      </w:r>
      <w:r w:rsidR="00B40828" w:rsidRPr="00851722">
        <w:rPr>
          <w:szCs w:val="24"/>
          <w:u w:val="single"/>
        </w:rPr>
        <w:t>que</w:t>
      </w:r>
      <w:r w:rsidR="00A62232" w:rsidRPr="00851722">
        <w:rPr>
          <w:szCs w:val="24"/>
          <w:u w:val="single"/>
        </w:rPr>
        <w:t xml:space="preserve"> </w:t>
      </w:r>
      <w:r w:rsidRPr="00851722">
        <w:rPr>
          <w:szCs w:val="24"/>
          <w:u w:val="single"/>
        </w:rPr>
        <w:t>ello modificara la ruta crítica del programa de ejecución de obra vigente al momento de la solicitud</w:t>
      </w:r>
      <w:r w:rsidRPr="005B4F67">
        <w:rPr>
          <w:szCs w:val="24"/>
        </w:rPr>
        <w:t>.</w:t>
      </w:r>
    </w:p>
    <w:p w:rsidR="00851722" w:rsidRDefault="00851722" w:rsidP="00A4333A">
      <w:pPr>
        <w:widowControl/>
        <w:suppressAutoHyphens w:val="0"/>
        <w:autoSpaceDE w:val="0"/>
        <w:autoSpaceDN w:val="0"/>
        <w:adjustRightInd w:val="0"/>
        <w:ind w:left="567" w:hanging="567"/>
        <w:jc w:val="both"/>
        <w:rPr>
          <w:szCs w:val="24"/>
        </w:rPr>
      </w:pPr>
    </w:p>
    <w:p w:rsidR="00530FD8" w:rsidRPr="00530FD8" w:rsidRDefault="00851722" w:rsidP="00530FD8">
      <w:pPr>
        <w:pStyle w:val="Prrafodelista"/>
        <w:ind w:left="567" w:hanging="567"/>
        <w:jc w:val="both"/>
        <w:rPr>
          <w:sz w:val="24"/>
          <w:szCs w:val="24"/>
        </w:rPr>
      </w:pPr>
      <w:r w:rsidRPr="00530FD8">
        <w:rPr>
          <w:sz w:val="24"/>
          <w:szCs w:val="24"/>
        </w:rPr>
        <w:t>2.1.2</w:t>
      </w:r>
      <w:r w:rsidRPr="00530FD8">
        <w:rPr>
          <w:sz w:val="24"/>
          <w:szCs w:val="24"/>
        </w:rPr>
        <w:tab/>
      </w:r>
      <w:r w:rsidR="00530FD8" w:rsidRPr="00530FD8">
        <w:rPr>
          <w:sz w:val="24"/>
          <w:szCs w:val="24"/>
        </w:rPr>
        <w:t>En este punto, es importante considerar que la aprobación de una prestac</w:t>
      </w:r>
      <w:r w:rsidR="00DF0E10">
        <w:rPr>
          <w:sz w:val="24"/>
          <w:szCs w:val="24"/>
        </w:rPr>
        <w:t>ión adicional de obra constituía</w:t>
      </w:r>
      <w:r w:rsidR="00530FD8" w:rsidRPr="00530FD8">
        <w:rPr>
          <w:sz w:val="24"/>
          <w:szCs w:val="24"/>
        </w:rPr>
        <w:t xml:space="preserve"> una causal de ampliación del plazo debido a que, </w:t>
      </w:r>
      <w:r w:rsidR="00530FD8" w:rsidRPr="00530FD8">
        <w:rPr>
          <w:sz w:val="24"/>
          <w:szCs w:val="24"/>
          <w:u w:val="single"/>
        </w:rPr>
        <w:t>por lo general, la</w:t>
      </w:r>
      <w:r w:rsidR="00B2324A">
        <w:rPr>
          <w:sz w:val="24"/>
          <w:szCs w:val="24"/>
          <w:u w:val="single"/>
        </w:rPr>
        <w:t>s</w:t>
      </w:r>
      <w:r w:rsidR="00530FD8" w:rsidRPr="00530FD8">
        <w:rPr>
          <w:sz w:val="24"/>
          <w:szCs w:val="24"/>
          <w:u w:val="single"/>
        </w:rPr>
        <w:t xml:space="preserve"> nuevas y/o mayores prestaciones </w:t>
      </w:r>
      <w:r w:rsidR="00E468B8">
        <w:rPr>
          <w:sz w:val="24"/>
          <w:szCs w:val="24"/>
          <w:u w:val="single"/>
        </w:rPr>
        <w:t>-</w:t>
      </w:r>
      <w:r w:rsidR="00530FD8" w:rsidRPr="00530FD8">
        <w:rPr>
          <w:sz w:val="24"/>
          <w:szCs w:val="24"/>
          <w:u w:val="single"/>
        </w:rPr>
        <w:t>a las</w:t>
      </w:r>
      <w:r w:rsidR="00F83320">
        <w:rPr>
          <w:sz w:val="24"/>
          <w:szCs w:val="24"/>
          <w:u w:val="single"/>
        </w:rPr>
        <w:t xml:space="preserve"> inicialmente pactadas</w:t>
      </w:r>
      <w:r w:rsidR="00E468B8">
        <w:rPr>
          <w:sz w:val="24"/>
          <w:szCs w:val="24"/>
          <w:u w:val="single"/>
        </w:rPr>
        <w:t>-</w:t>
      </w:r>
      <w:r w:rsidR="00F83320">
        <w:rPr>
          <w:sz w:val="24"/>
          <w:szCs w:val="24"/>
          <w:u w:val="single"/>
        </w:rPr>
        <w:t xml:space="preserve"> requerían</w:t>
      </w:r>
      <w:r w:rsidR="00530FD8" w:rsidRPr="00530FD8">
        <w:rPr>
          <w:sz w:val="24"/>
          <w:szCs w:val="24"/>
          <w:u w:val="single"/>
        </w:rPr>
        <w:t xml:space="preserve"> de un mayor plazo para ser ejecutadas</w:t>
      </w:r>
      <w:r w:rsidR="00530FD8" w:rsidRPr="00530FD8">
        <w:rPr>
          <w:sz w:val="24"/>
          <w:szCs w:val="24"/>
        </w:rPr>
        <w:t xml:space="preserve">; no obstante, es preciso señalar que </w:t>
      </w:r>
      <w:r w:rsidR="00530FD8" w:rsidRPr="008B39E2">
        <w:rPr>
          <w:sz w:val="24"/>
          <w:szCs w:val="24"/>
          <w:u w:val="single"/>
        </w:rPr>
        <w:t>no toda prest</w:t>
      </w:r>
      <w:r w:rsidR="00F83320" w:rsidRPr="008B39E2">
        <w:rPr>
          <w:sz w:val="24"/>
          <w:szCs w:val="24"/>
          <w:u w:val="single"/>
        </w:rPr>
        <w:t xml:space="preserve">ación adicional de obra </w:t>
      </w:r>
      <w:r w:rsidR="0007111A" w:rsidRPr="008B39E2">
        <w:rPr>
          <w:sz w:val="24"/>
          <w:szCs w:val="24"/>
          <w:u w:val="single"/>
        </w:rPr>
        <w:t>requería</w:t>
      </w:r>
      <w:r w:rsidR="00530FD8" w:rsidRPr="008B39E2">
        <w:rPr>
          <w:sz w:val="24"/>
          <w:szCs w:val="24"/>
          <w:u w:val="single"/>
        </w:rPr>
        <w:t xml:space="preserve"> de la ampliación del plazo para su </w:t>
      </w:r>
      <w:r w:rsidR="00E468B8" w:rsidRPr="008B39E2">
        <w:rPr>
          <w:sz w:val="24"/>
          <w:szCs w:val="24"/>
          <w:u w:val="single"/>
        </w:rPr>
        <w:t>realización</w:t>
      </w:r>
      <w:r w:rsidR="00530FD8" w:rsidRPr="00530FD8">
        <w:rPr>
          <w:sz w:val="24"/>
          <w:szCs w:val="24"/>
        </w:rPr>
        <w:t>.</w:t>
      </w:r>
    </w:p>
    <w:p w:rsidR="00530FD8" w:rsidRPr="00530FD8" w:rsidRDefault="00530FD8" w:rsidP="00530FD8">
      <w:pPr>
        <w:pStyle w:val="Prrafodelista"/>
        <w:ind w:left="567"/>
        <w:jc w:val="both"/>
        <w:rPr>
          <w:sz w:val="24"/>
          <w:szCs w:val="24"/>
        </w:rPr>
      </w:pPr>
    </w:p>
    <w:p w:rsidR="00530FD8" w:rsidRDefault="00530FD8" w:rsidP="00530FD8">
      <w:pPr>
        <w:pStyle w:val="Prrafodelista"/>
        <w:ind w:left="567"/>
        <w:jc w:val="both"/>
        <w:rPr>
          <w:sz w:val="24"/>
          <w:szCs w:val="24"/>
        </w:rPr>
      </w:pPr>
      <w:r w:rsidRPr="00530FD8">
        <w:rPr>
          <w:sz w:val="24"/>
          <w:szCs w:val="24"/>
        </w:rPr>
        <w:t xml:space="preserve">En efecto, la aprobación de una ampliación del plazo para la ejecución de una prestación adicional de obra </w:t>
      </w:r>
      <w:r w:rsidR="00C32E75">
        <w:rPr>
          <w:sz w:val="24"/>
          <w:szCs w:val="24"/>
          <w:u w:val="single"/>
        </w:rPr>
        <w:t>procedía</w:t>
      </w:r>
      <w:r w:rsidRPr="00530FD8">
        <w:rPr>
          <w:sz w:val="24"/>
          <w:szCs w:val="24"/>
          <w:u w:val="single"/>
        </w:rPr>
        <w:t xml:space="preserve"> cuando las actividades y/o partidas que forma</w:t>
      </w:r>
      <w:r w:rsidR="00C32E75">
        <w:rPr>
          <w:sz w:val="24"/>
          <w:szCs w:val="24"/>
          <w:u w:val="single"/>
        </w:rPr>
        <w:t>ba</w:t>
      </w:r>
      <w:r w:rsidRPr="00530FD8">
        <w:rPr>
          <w:sz w:val="24"/>
          <w:szCs w:val="24"/>
          <w:u w:val="single"/>
        </w:rPr>
        <w:t>n parte de la prestac</w:t>
      </w:r>
      <w:r w:rsidR="00C32E75">
        <w:rPr>
          <w:sz w:val="24"/>
          <w:szCs w:val="24"/>
          <w:u w:val="single"/>
        </w:rPr>
        <w:t>ión adicional aprobada ib</w:t>
      </w:r>
      <w:r w:rsidRPr="00530FD8">
        <w:rPr>
          <w:sz w:val="24"/>
          <w:szCs w:val="24"/>
          <w:u w:val="single"/>
        </w:rPr>
        <w:t>an a afectar la ruta crítica del programa de ejecuci</w:t>
      </w:r>
      <w:r w:rsidR="00C32E75">
        <w:rPr>
          <w:sz w:val="24"/>
          <w:szCs w:val="24"/>
          <w:u w:val="single"/>
        </w:rPr>
        <w:t>ón de obra vigente o cuando se ib</w:t>
      </w:r>
      <w:r w:rsidRPr="00530FD8">
        <w:rPr>
          <w:sz w:val="24"/>
          <w:szCs w:val="24"/>
          <w:u w:val="single"/>
        </w:rPr>
        <w:t xml:space="preserve">a </w:t>
      </w:r>
      <w:r w:rsidR="00C32E75">
        <w:rPr>
          <w:sz w:val="24"/>
          <w:szCs w:val="24"/>
          <w:u w:val="single"/>
        </w:rPr>
        <w:t xml:space="preserve">a </w:t>
      </w:r>
      <w:r w:rsidRPr="00530FD8">
        <w:rPr>
          <w:sz w:val="24"/>
          <w:szCs w:val="24"/>
          <w:u w:val="single"/>
        </w:rPr>
        <w:t>requerir de un plazo mayor para su ejecución</w:t>
      </w:r>
      <w:r w:rsidRPr="00530FD8">
        <w:rPr>
          <w:sz w:val="24"/>
          <w:szCs w:val="24"/>
        </w:rPr>
        <w:t>.</w:t>
      </w:r>
    </w:p>
    <w:p w:rsidR="00530FD8" w:rsidRPr="00530FD8" w:rsidRDefault="00530FD8" w:rsidP="00530FD8">
      <w:pPr>
        <w:pStyle w:val="Prrafodelista"/>
        <w:ind w:left="567"/>
        <w:jc w:val="both"/>
        <w:rPr>
          <w:sz w:val="24"/>
          <w:szCs w:val="24"/>
        </w:rPr>
      </w:pPr>
      <w:r w:rsidRPr="00530FD8">
        <w:rPr>
          <w:sz w:val="24"/>
          <w:szCs w:val="24"/>
        </w:rPr>
        <w:t xml:space="preserve"> </w:t>
      </w:r>
    </w:p>
    <w:p w:rsidR="00530FD8" w:rsidRPr="00530FD8" w:rsidRDefault="00530FD8" w:rsidP="00530FD8">
      <w:pPr>
        <w:pStyle w:val="Prrafodelista"/>
        <w:ind w:left="567"/>
        <w:jc w:val="both"/>
        <w:rPr>
          <w:sz w:val="24"/>
          <w:szCs w:val="24"/>
        </w:rPr>
      </w:pPr>
      <w:r w:rsidRPr="00530FD8">
        <w:rPr>
          <w:sz w:val="24"/>
          <w:szCs w:val="24"/>
        </w:rPr>
        <w:t>Bajo el mismo criterio, cuando la ejecución de las actividades y/o partidas que forma</w:t>
      </w:r>
      <w:r w:rsidR="00C32E75">
        <w:rPr>
          <w:sz w:val="24"/>
          <w:szCs w:val="24"/>
        </w:rPr>
        <w:t>ba</w:t>
      </w:r>
      <w:r w:rsidRPr="00530FD8">
        <w:rPr>
          <w:sz w:val="24"/>
          <w:szCs w:val="24"/>
        </w:rPr>
        <w:t>n parte de la prestación</w:t>
      </w:r>
      <w:r w:rsidR="00C32E75">
        <w:rPr>
          <w:sz w:val="24"/>
          <w:szCs w:val="24"/>
        </w:rPr>
        <w:t xml:space="preserve"> adicional aprobada </w:t>
      </w:r>
      <w:r w:rsidR="00C32E75" w:rsidRPr="00A078BB">
        <w:rPr>
          <w:sz w:val="24"/>
          <w:szCs w:val="24"/>
          <w:u w:val="single"/>
        </w:rPr>
        <w:t>no</w:t>
      </w:r>
      <w:r w:rsidR="00C32E75">
        <w:rPr>
          <w:sz w:val="24"/>
          <w:szCs w:val="24"/>
        </w:rPr>
        <w:t xml:space="preserve"> ib</w:t>
      </w:r>
      <w:r w:rsidRPr="00530FD8">
        <w:rPr>
          <w:sz w:val="24"/>
          <w:szCs w:val="24"/>
        </w:rPr>
        <w:t>an a afectar la ruta crítica del programa de ejecución de obra vigente (por ej</w:t>
      </w:r>
      <w:r w:rsidR="00C32E75">
        <w:rPr>
          <w:sz w:val="24"/>
          <w:szCs w:val="24"/>
        </w:rPr>
        <w:t xml:space="preserve">emplo, cuando </w:t>
      </w:r>
      <w:r w:rsidR="00B5248F">
        <w:rPr>
          <w:sz w:val="24"/>
          <w:szCs w:val="24"/>
        </w:rPr>
        <w:t xml:space="preserve">podían ejecutarse de forma </w:t>
      </w:r>
      <w:r w:rsidRPr="00530FD8">
        <w:rPr>
          <w:sz w:val="24"/>
          <w:szCs w:val="24"/>
        </w:rPr>
        <w:t>paralela a las partidas o actividades que forma</w:t>
      </w:r>
      <w:r w:rsidR="00C32E75">
        <w:rPr>
          <w:sz w:val="24"/>
          <w:szCs w:val="24"/>
        </w:rPr>
        <w:t>ba</w:t>
      </w:r>
      <w:r w:rsidRPr="00530FD8">
        <w:rPr>
          <w:sz w:val="24"/>
          <w:szCs w:val="24"/>
        </w:rPr>
        <w:t>n parte d</w:t>
      </w:r>
      <w:r w:rsidR="00C32E75">
        <w:rPr>
          <w:sz w:val="24"/>
          <w:szCs w:val="24"/>
        </w:rPr>
        <w:t xml:space="preserve">e la ruta crítica), </w:t>
      </w:r>
      <w:r w:rsidR="00C32E75" w:rsidRPr="00A078BB">
        <w:rPr>
          <w:sz w:val="24"/>
          <w:szCs w:val="24"/>
          <w:u w:val="single"/>
        </w:rPr>
        <w:t>no</w:t>
      </w:r>
      <w:r w:rsidR="00C32E75">
        <w:rPr>
          <w:sz w:val="24"/>
          <w:szCs w:val="24"/>
        </w:rPr>
        <w:t xml:space="preserve"> procedía</w:t>
      </w:r>
      <w:r w:rsidRPr="00530FD8">
        <w:rPr>
          <w:sz w:val="24"/>
          <w:szCs w:val="24"/>
        </w:rPr>
        <w:t xml:space="preserve"> aprobar una ampliación del plazo </w:t>
      </w:r>
      <w:r w:rsidR="00E81E2B">
        <w:rPr>
          <w:sz w:val="24"/>
          <w:szCs w:val="24"/>
        </w:rPr>
        <w:t>contractual</w:t>
      </w:r>
      <w:r w:rsidRPr="00530FD8">
        <w:rPr>
          <w:sz w:val="24"/>
          <w:szCs w:val="24"/>
        </w:rPr>
        <w:t xml:space="preserve"> por dicha causal. </w:t>
      </w:r>
    </w:p>
    <w:p w:rsidR="00530FD8" w:rsidRPr="00530FD8" w:rsidRDefault="00530FD8" w:rsidP="00530FD8">
      <w:pPr>
        <w:pStyle w:val="Prrafodelista"/>
        <w:ind w:left="567"/>
        <w:jc w:val="both"/>
        <w:rPr>
          <w:sz w:val="24"/>
          <w:szCs w:val="24"/>
        </w:rPr>
      </w:pPr>
    </w:p>
    <w:p w:rsidR="00530FD8" w:rsidRDefault="00530FD8" w:rsidP="00530FD8">
      <w:pPr>
        <w:pStyle w:val="Prrafodelista"/>
        <w:ind w:left="567"/>
        <w:jc w:val="both"/>
        <w:rPr>
          <w:sz w:val="24"/>
          <w:szCs w:val="24"/>
        </w:rPr>
      </w:pPr>
      <w:r w:rsidRPr="00530FD8">
        <w:rPr>
          <w:sz w:val="24"/>
          <w:szCs w:val="24"/>
        </w:rPr>
        <w:t>En virtud de lo expuesto</w:t>
      </w:r>
      <w:r w:rsidR="00C32E75">
        <w:rPr>
          <w:sz w:val="24"/>
          <w:szCs w:val="24"/>
        </w:rPr>
        <w:t>, para determinar si correspondía</w:t>
      </w:r>
      <w:r w:rsidRPr="00530FD8">
        <w:rPr>
          <w:sz w:val="24"/>
          <w:szCs w:val="24"/>
        </w:rPr>
        <w:t xml:space="preserve"> otorgar o no una ampliación del plazo para la ejecución de una pres</w:t>
      </w:r>
      <w:r w:rsidR="00C32E75">
        <w:rPr>
          <w:sz w:val="24"/>
          <w:szCs w:val="24"/>
        </w:rPr>
        <w:t>tación adicional de obra se debía</w:t>
      </w:r>
      <w:r w:rsidRPr="00530FD8">
        <w:rPr>
          <w:sz w:val="24"/>
          <w:szCs w:val="24"/>
        </w:rPr>
        <w:t xml:space="preserve"> analizar, en el caso en concreto, si la ejecución de las nuevas o mayores partidas y/o actividades </w:t>
      </w:r>
      <w:r w:rsidR="00DD6A59">
        <w:rPr>
          <w:sz w:val="24"/>
          <w:szCs w:val="24"/>
        </w:rPr>
        <w:t>que conformaban</w:t>
      </w:r>
      <w:r w:rsidRPr="00530FD8">
        <w:rPr>
          <w:sz w:val="24"/>
          <w:szCs w:val="24"/>
        </w:rPr>
        <w:t xml:space="preserve"> la prestación ad</w:t>
      </w:r>
      <w:r w:rsidR="00C32E75">
        <w:rPr>
          <w:sz w:val="24"/>
          <w:szCs w:val="24"/>
        </w:rPr>
        <w:t>icional afectab</w:t>
      </w:r>
      <w:r w:rsidR="00B5248F">
        <w:rPr>
          <w:sz w:val="24"/>
          <w:szCs w:val="24"/>
        </w:rPr>
        <w:t>a</w:t>
      </w:r>
      <w:r w:rsidRPr="00530FD8">
        <w:rPr>
          <w:sz w:val="24"/>
          <w:szCs w:val="24"/>
        </w:rPr>
        <w:t xml:space="preserve"> o no -y en qué medida- la ruta crítica del programa de ejecución de obra vigente, o s</w:t>
      </w:r>
      <w:r w:rsidR="00C32E75">
        <w:rPr>
          <w:sz w:val="24"/>
          <w:szCs w:val="24"/>
        </w:rPr>
        <w:t>i para su ejecución se requería</w:t>
      </w:r>
      <w:r w:rsidRPr="00530FD8">
        <w:rPr>
          <w:sz w:val="24"/>
          <w:szCs w:val="24"/>
        </w:rPr>
        <w:t xml:space="preserve"> de un plazo adicional; </w:t>
      </w:r>
      <w:r w:rsidR="00C32E75">
        <w:rPr>
          <w:sz w:val="24"/>
          <w:szCs w:val="24"/>
          <w:u w:val="single"/>
        </w:rPr>
        <w:t>situaciones que solo podía</w:t>
      </w:r>
      <w:r w:rsidR="00C32E75" w:rsidRPr="00530FD8">
        <w:rPr>
          <w:sz w:val="24"/>
          <w:szCs w:val="24"/>
          <w:u w:val="single"/>
        </w:rPr>
        <w:t>n</w:t>
      </w:r>
      <w:r w:rsidRPr="00530FD8">
        <w:rPr>
          <w:sz w:val="24"/>
          <w:szCs w:val="24"/>
          <w:u w:val="single"/>
        </w:rPr>
        <w:t xml:space="preserve"> determinarse una vez aprobada la prestación adicional de obra</w:t>
      </w:r>
      <w:r w:rsidRPr="003216E1">
        <w:rPr>
          <w:rStyle w:val="Refdenotaalpie"/>
          <w:sz w:val="24"/>
          <w:szCs w:val="24"/>
        </w:rPr>
        <w:footnoteReference w:id="2"/>
      </w:r>
      <w:r w:rsidRPr="003216E1">
        <w:rPr>
          <w:sz w:val="24"/>
          <w:szCs w:val="24"/>
        </w:rPr>
        <w:t>.</w:t>
      </w:r>
    </w:p>
    <w:p w:rsidR="003C60DE" w:rsidRDefault="003C60DE" w:rsidP="003C60DE">
      <w:pPr>
        <w:pStyle w:val="Prrafodelista"/>
        <w:ind w:left="567" w:hanging="567"/>
        <w:jc w:val="both"/>
        <w:rPr>
          <w:sz w:val="24"/>
          <w:szCs w:val="24"/>
        </w:rPr>
      </w:pPr>
      <w:r>
        <w:rPr>
          <w:sz w:val="24"/>
          <w:szCs w:val="24"/>
        </w:rPr>
        <w:lastRenderedPageBreak/>
        <w:t>2.1.3</w:t>
      </w:r>
      <w:r>
        <w:rPr>
          <w:sz w:val="24"/>
          <w:szCs w:val="24"/>
        </w:rPr>
        <w:tab/>
      </w:r>
      <w:r w:rsidRPr="00556E12">
        <w:rPr>
          <w:sz w:val="24"/>
          <w:szCs w:val="24"/>
        </w:rPr>
        <w:t xml:space="preserve">Dicho lo anterior, es importante señalar que el artículo 201 del anterior Reglamento </w:t>
      </w:r>
      <w:r w:rsidR="00AE7487">
        <w:rPr>
          <w:sz w:val="24"/>
          <w:szCs w:val="24"/>
        </w:rPr>
        <w:t xml:space="preserve">regulaba el procedimiento de ampliación de plazo, disponiendo -en su primer párrafo- </w:t>
      </w:r>
      <w:r w:rsidR="00556E12" w:rsidRPr="00556E12">
        <w:rPr>
          <w:sz w:val="24"/>
          <w:szCs w:val="24"/>
        </w:rPr>
        <w:t xml:space="preserve"> que “(…) </w:t>
      </w:r>
      <w:r w:rsidR="00556E12" w:rsidRPr="00556E12">
        <w:rPr>
          <w:i/>
          <w:sz w:val="24"/>
          <w:szCs w:val="24"/>
        </w:rPr>
        <w:t xml:space="preserve">Dentro de los quince (15) días siguientes de concluido el hecho invocado, el contratista o su representante legal solicitará, </w:t>
      </w:r>
      <w:r w:rsidR="00556E12" w:rsidRPr="00E6622D">
        <w:rPr>
          <w:b/>
          <w:i/>
          <w:sz w:val="24"/>
          <w:szCs w:val="24"/>
          <w:u w:val="single"/>
        </w:rPr>
        <w:t xml:space="preserve">cuantificará </w:t>
      </w:r>
      <w:r w:rsidR="00556E12" w:rsidRPr="008E2956">
        <w:rPr>
          <w:i/>
          <w:sz w:val="24"/>
          <w:szCs w:val="24"/>
          <w:u w:val="single"/>
        </w:rPr>
        <w:t>y sustentará</w:t>
      </w:r>
      <w:r w:rsidR="00556E12" w:rsidRPr="00E6622D">
        <w:rPr>
          <w:b/>
          <w:i/>
          <w:sz w:val="24"/>
          <w:szCs w:val="24"/>
          <w:u w:val="single"/>
        </w:rPr>
        <w:t xml:space="preserve"> su solicitud de ampliación de plazo</w:t>
      </w:r>
      <w:r w:rsidR="00556E12" w:rsidRPr="00556E12">
        <w:rPr>
          <w:i/>
          <w:sz w:val="24"/>
          <w:szCs w:val="24"/>
        </w:rPr>
        <w:t xml:space="preserve"> ante el inspector o supervisor, según corresponda, siempre que la demora afecte la ruta crítica del programa de ejecución de obra vigente y el plazo adicional resulte necesario para la culminación de la ob</w:t>
      </w:r>
      <w:r w:rsidR="00556E12" w:rsidRPr="00794DB1">
        <w:rPr>
          <w:i/>
          <w:sz w:val="24"/>
          <w:szCs w:val="24"/>
        </w:rPr>
        <w:t>ra</w:t>
      </w:r>
      <w:r w:rsidR="00556E12" w:rsidRPr="00556E12">
        <w:rPr>
          <w:sz w:val="24"/>
          <w:szCs w:val="24"/>
        </w:rPr>
        <w:t xml:space="preserve"> (…)”</w:t>
      </w:r>
      <w:r w:rsidR="00556E12">
        <w:rPr>
          <w:sz w:val="24"/>
          <w:szCs w:val="24"/>
        </w:rPr>
        <w:t xml:space="preserve"> (El subrayado </w:t>
      </w:r>
      <w:r w:rsidR="00E6622D">
        <w:rPr>
          <w:sz w:val="24"/>
          <w:szCs w:val="24"/>
        </w:rPr>
        <w:t>y resaltado son</w:t>
      </w:r>
      <w:r w:rsidR="00556E12">
        <w:rPr>
          <w:sz w:val="24"/>
          <w:szCs w:val="24"/>
        </w:rPr>
        <w:t xml:space="preserve"> agregado</w:t>
      </w:r>
      <w:r w:rsidR="00E6622D">
        <w:rPr>
          <w:sz w:val="24"/>
          <w:szCs w:val="24"/>
        </w:rPr>
        <w:t>s</w:t>
      </w:r>
      <w:r w:rsidR="00556E12">
        <w:rPr>
          <w:sz w:val="24"/>
          <w:szCs w:val="24"/>
        </w:rPr>
        <w:t>).</w:t>
      </w:r>
    </w:p>
    <w:p w:rsidR="004A56E0" w:rsidRDefault="004A56E0" w:rsidP="003C60DE">
      <w:pPr>
        <w:pStyle w:val="Prrafodelista"/>
        <w:ind w:left="567" w:hanging="567"/>
        <w:jc w:val="both"/>
        <w:rPr>
          <w:sz w:val="24"/>
          <w:szCs w:val="24"/>
        </w:rPr>
      </w:pPr>
    </w:p>
    <w:p w:rsidR="006C52AB" w:rsidRDefault="004A56E0" w:rsidP="006C52AB">
      <w:pPr>
        <w:pStyle w:val="Prrafodelista"/>
        <w:ind w:left="567" w:hanging="567"/>
        <w:jc w:val="both"/>
        <w:rPr>
          <w:sz w:val="24"/>
          <w:szCs w:val="24"/>
        </w:rPr>
      </w:pPr>
      <w:r>
        <w:rPr>
          <w:sz w:val="24"/>
          <w:szCs w:val="24"/>
        </w:rPr>
        <w:tab/>
      </w:r>
      <w:r w:rsidR="006C26EF">
        <w:rPr>
          <w:sz w:val="24"/>
          <w:szCs w:val="24"/>
        </w:rPr>
        <w:t>Como se aprecia,</w:t>
      </w:r>
      <w:r w:rsidR="00AE7487">
        <w:rPr>
          <w:sz w:val="24"/>
          <w:szCs w:val="24"/>
        </w:rPr>
        <w:t xml:space="preserve"> </w:t>
      </w:r>
      <w:r w:rsidR="006C52AB">
        <w:rPr>
          <w:sz w:val="24"/>
          <w:szCs w:val="24"/>
        </w:rPr>
        <w:t>la anterior normativa de contrataciones del Estado establecía que</w:t>
      </w:r>
      <w:r w:rsidR="003F50CD">
        <w:rPr>
          <w:sz w:val="24"/>
          <w:szCs w:val="24"/>
        </w:rPr>
        <w:t xml:space="preserve">     -en el caso de obras-</w:t>
      </w:r>
      <w:r w:rsidR="006C52AB">
        <w:rPr>
          <w:sz w:val="24"/>
          <w:szCs w:val="24"/>
        </w:rPr>
        <w:t xml:space="preserve"> el contratista o su representante legal debía cuantificar su solicitud de ampliación de plazo</w:t>
      </w:r>
      <w:r w:rsidR="00FF33F9">
        <w:rPr>
          <w:sz w:val="24"/>
          <w:szCs w:val="24"/>
        </w:rPr>
        <w:t>,</w:t>
      </w:r>
      <w:r w:rsidR="006C52AB">
        <w:rPr>
          <w:sz w:val="24"/>
          <w:szCs w:val="24"/>
        </w:rPr>
        <w:t xml:space="preserve"> en otras palabras, </w:t>
      </w:r>
      <w:r w:rsidR="00FF33F9">
        <w:rPr>
          <w:sz w:val="24"/>
          <w:szCs w:val="24"/>
          <w:u w:val="single"/>
        </w:rPr>
        <w:t>al momento de presentar</w:t>
      </w:r>
      <w:r w:rsidR="006C52AB" w:rsidRPr="000B5574">
        <w:rPr>
          <w:sz w:val="24"/>
          <w:szCs w:val="24"/>
          <w:u w:val="single"/>
        </w:rPr>
        <w:t xml:space="preserve"> la referida solicitud debía </w:t>
      </w:r>
      <w:r w:rsidR="006C52AB" w:rsidRPr="000B5574">
        <w:rPr>
          <w:b/>
          <w:sz w:val="24"/>
          <w:szCs w:val="24"/>
          <w:u w:val="single"/>
        </w:rPr>
        <w:t>indicar</w:t>
      </w:r>
      <w:r w:rsidR="00D43AB4">
        <w:rPr>
          <w:b/>
          <w:sz w:val="24"/>
          <w:szCs w:val="24"/>
          <w:u w:val="single"/>
        </w:rPr>
        <w:t>se</w:t>
      </w:r>
      <w:r w:rsidR="006C52AB" w:rsidRPr="000B5574">
        <w:rPr>
          <w:b/>
          <w:sz w:val="24"/>
          <w:szCs w:val="24"/>
          <w:u w:val="single"/>
        </w:rPr>
        <w:t xml:space="preserve"> el número de días que se solicitaba como ampliación</w:t>
      </w:r>
      <w:r w:rsidR="006C52AB">
        <w:rPr>
          <w:sz w:val="24"/>
          <w:szCs w:val="24"/>
        </w:rPr>
        <w:t>.</w:t>
      </w:r>
    </w:p>
    <w:p w:rsidR="006C52AB" w:rsidRDefault="006C52AB" w:rsidP="006C52AB">
      <w:pPr>
        <w:pStyle w:val="Prrafodelista"/>
        <w:ind w:left="567" w:hanging="567"/>
        <w:jc w:val="both"/>
        <w:rPr>
          <w:sz w:val="24"/>
          <w:szCs w:val="24"/>
        </w:rPr>
      </w:pPr>
    </w:p>
    <w:p w:rsidR="00D43AB4" w:rsidRDefault="008D4A8E" w:rsidP="00B4308A">
      <w:pPr>
        <w:pStyle w:val="Prrafodelista"/>
        <w:ind w:left="567" w:hanging="567"/>
        <w:jc w:val="both"/>
        <w:rPr>
          <w:sz w:val="24"/>
          <w:szCs w:val="24"/>
        </w:rPr>
      </w:pPr>
      <w:r>
        <w:rPr>
          <w:sz w:val="24"/>
          <w:szCs w:val="24"/>
        </w:rPr>
        <w:tab/>
      </w:r>
      <w:r w:rsidR="006A3F98">
        <w:rPr>
          <w:sz w:val="24"/>
          <w:szCs w:val="24"/>
        </w:rPr>
        <w:t xml:space="preserve">Ahora bien, es importante precisar que el número de días solicitados como ampliación de plazo </w:t>
      </w:r>
      <w:r w:rsidR="00BD7C7B">
        <w:rPr>
          <w:sz w:val="24"/>
          <w:szCs w:val="24"/>
        </w:rPr>
        <w:t>debía ser determinado</w:t>
      </w:r>
      <w:r w:rsidR="006A3F98">
        <w:rPr>
          <w:sz w:val="24"/>
          <w:szCs w:val="24"/>
        </w:rPr>
        <w:t xml:space="preserve"> en función del </w:t>
      </w:r>
      <w:r w:rsidR="002872A4">
        <w:rPr>
          <w:sz w:val="24"/>
          <w:szCs w:val="24"/>
        </w:rPr>
        <w:t>análisis</w:t>
      </w:r>
      <w:r w:rsidR="00DE098A">
        <w:rPr>
          <w:sz w:val="24"/>
          <w:szCs w:val="24"/>
        </w:rPr>
        <w:t xml:space="preserve"> </w:t>
      </w:r>
      <w:r w:rsidR="00DE098A" w:rsidRPr="00530FD8">
        <w:rPr>
          <w:sz w:val="24"/>
          <w:szCs w:val="24"/>
        </w:rPr>
        <w:t xml:space="preserve">de las nuevas o mayores partidas y/o actividades </w:t>
      </w:r>
      <w:r w:rsidR="00DE098A">
        <w:rPr>
          <w:sz w:val="24"/>
          <w:szCs w:val="24"/>
        </w:rPr>
        <w:t>que conformaban</w:t>
      </w:r>
      <w:r w:rsidR="00DE098A" w:rsidRPr="00530FD8">
        <w:rPr>
          <w:sz w:val="24"/>
          <w:szCs w:val="24"/>
        </w:rPr>
        <w:t xml:space="preserve"> la prestación ad</w:t>
      </w:r>
      <w:r w:rsidR="00DE098A">
        <w:rPr>
          <w:sz w:val="24"/>
          <w:szCs w:val="24"/>
        </w:rPr>
        <w:t>icional</w:t>
      </w:r>
      <w:r w:rsidR="00554C09">
        <w:rPr>
          <w:sz w:val="24"/>
          <w:szCs w:val="24"/>
        </w:rPr>
        <w:t>;</w:t>
      </w:r>
      <w:r w:rsidR="00DE098A">
        <w:rPr>
          <w:sz w:val="24"/>
          <w:szCs w:val="24"/>
        </w:rPr>
        <w:t xml:space="preserve"> y de la manera en que estas afectaban la ruta crítica</w:t>
      </w:r>
      <w:r w:rsidR="00554C09">
        <w:rPr>
          <w:sz w:val="24"/>
          <w:szCs w:val="24"/>
        </w:rPr>
        <w:t>,</w:t>
      </w:r>
      <w:r w:rsidR="00DE098A">
        <w:rPr>
          <w:sz w:val="24"/>
          <w:szCs w:val="24"/>
        </w:rPr>
        <w:t xml:space="preserve"> o del plazo adicional que se requería para su ejecución</w:t>
      </w:r>
      <w:r w:rsidR="00BA45F2">
        <w:rPr>
          <w:sz w:val="24"/>
          <w:szCs w:val="24"/>
        </w:rPr>
        <w:t xml:space="preserve">, </w:t>
      </w:r>
      <w:r w:rsidR="00A22432">
        <w:rPr>
          <w:sz w:val="24"/>
          <w:szCs w:val="24"/>
        </w:rPr>
        <w:t>según</w:t>
      </w:r>
      <w:r w:rsidR="00BA45F2">
        <w:rPr>
          <w:sz w:val="24"/>
          <w:szCs w:val="24"/>
        </w:rPr>
        <w:t xml:space="preserve"> la información contenida en el expediente técnico del adicional</w:t>
      </w:r>
      <w:r w:rsidR="00D4346E">
        <w:rPr>
          <w:sz w:val="24"/>
          <w:szCs w:val="24"/>
        </w:rPr>
        <w:t xml:space="preserve"> de obra</w:t>
      </w:r>
      <w:r w:rsidR="00DE098A">
        <w:rPr>
          <w:sz w:val="24"/>
          <w:szCs w:val="24"/>
        </w:rPr>
        <w:t>.</w:t>
      </w:r>
    </w:p>
    <w:p w:rsidR="005210F1" w:rsidRDefault="005210F1" w:rsidP="00B4308A">
      <w:pPr>
        <w:pStyle w:val="Prrafodelista"/>
        <w:ind w:left="567" w:hanging="567"/>
        <w:jc w:val="both"/>
        <w:rPr>
          <w:sz w:val="24"/>
          <w:szCs w:val="24"/>
        </w:rPr>
      </w:pPr>
    </w:p>
    <w:p w:rsidR="00DE098A" w:rsidRPr="00B4308A" w:rsidRDefault="005210F1" w:rsidP="00651574">
      <w:pPr>
        <w:pStyle w:val="Prrafodelista"/>
        <w:ind w:left="567" w:hanging="567"/>
        <w:jc w:val="both"/>
        <w:rPr>
          <w:sz w:val="24"/>
          <w:szCs w:val="24"/>
        </w:rPr>
      </w:pPr>
      <w:r>
        <w:rPr>
          <w:sz w:val="24"/>
          <w:szCs w:val="24"/>
        </w:rPr>
        <w:tab/>
      </w:r>
      <w:r w:rsidR="00ED3F70">
        <w:rPr>
          <w:sz w:val="24"/>
          <w:szCs w:val="24"/>
        </w:rPr>
        <w:t>Así</w:t>
      </w:r>
      <w:r>
        <w:rPr>
          <w:sz w:val="24"/>
          <w:szCs w:val="24"/>
        </w:rPr>
        <w:t xml:space="preserve">, </w:t>
      </w:r>
      <w:r w:rsidR="00651574">
        <w:rPr>
          <w:sz w:val="24"/>
          <w:szCs w:val="24"/>
        </w:rPr>
        <w:t xml:space="preserve">el contratista </w:t>
      </w:r>
      <w:r w:rsidR="0016794E">
        <w:rPr>
          <w:sz w:val="24"/>
          <w:szCs w:val="24"/>
        </w:rPr>
        <w:t xml:space="preserve">debía realizar </w:t>
      </w:r>
      <w:r w:rsidR="00ED3F70">
        <w:rPr>
          <w:sz w:val="24"/>
          <w:szCs w:val="24"/>
        </w:rPr>
        <w:t>-</w:t>
      </w:r>
      <w:r w:rsidR="00881DFC">
        <w:rPr>
          <w:sz w:val="24"/>
          <w:szCs w:val="24"/>
        </w:rPr>
        <w:t xml:space="preserve">previamente- </w:t>
      </w:r>
      <w:r w:rsidR="0016794E">
        <w:rPr>
          <w:sz w:val="24"/>
          <w:szCs w:val="24"/>
        </w:rPr>
        <w:t>un análisis de los efectos que la ejecución del adicional de obra tenía sobre el plazo</w:t>
      </w:r>
      <w:r w:rsidR="00651574">
        <w:rPr>
          <w:sz w:val="24"/>
          <w:szCs w:val="24"/>
        </w:rPr>
        <w:t xml:space="preserve"> de la obra</w:t>
      </w:r>
      <w:r w:rsidR="000C0DF2">
        <w:rPr>
          <w:sz w:val="24"/>
          <w:szCs w:val="24"/>
        </w:rPr>
        <w:t>, con la finalidad de cuantificar y formular su solicitud de ampliación de plazo</w:t>
      </w:r>
      <w:r w:rsidR="0016794E">
        <w:rPr>
          <w:sz w:val="24"/>
          <w:szCs w:val="24"/>
        </w:rPr>
        <w:t>;</w:t>
      </w:r>
      <w:r w:rsidR="00735E2D">
        <w:rPr>
          <w:sz w:val="24"/>
          <w:szCs w:val="24"/>
        </w:rPr>
        <w:t xml:space="preserve"> </w:t>
      </w:r>
      <w:r w:rsidR="00ED3F70">
        <w:rPr>
          <w:sz w:val="24"/>
          <w:szCs w:val="24"/>
        </w:rPr>
        <w:t>en ese sentido</w:t>
      </w:r>
      <w:r w:rsidR="00735E2D">
        <w:rPr>
          <w:sz w:val="24"/>
          <w:szCs w:val="24"/>
        </w:rPr>
        <w:t xml:space="preserve">, </w:t>
      </w:r>
      <w:r w:rsidR="00BF700D">
        <w:rPr>
          <w:sz w:val="24"/>
          <w:szCs w:val="24"/>
        </w:rPr>
        <w:t>correspondía</w:t>
      </w:r>
      <w:r w:rsidR="00735E2D">
        <w:rPr>
          <w:sz w:val="24"/>
          <w:szCs w:val="24"/>
        </w:rPr>
        <w:t xml:space="preserve"> a l</w:t>
      </w:r>
      <w:r w:rsidR="00553F05">
        <w:rPr>
          <w:sz w:val="24"/>
          <w:szCs w:val="24"/>
        </w:rPr>
        <w:t xml:space="preserve">a Entidad evaluar la solicitud presentada por </w:t>
      </w:r>
      <w:r w:rsidR="00735E2D">
        <w:rPr>
          <w:sz w:val="24"/>
          <w:szCs w:val="24"/>
        </w:rPr>
        <w:t xml:space="preserve">el contratista y </w:t>
      </w:r>
      <w:r w:rsidR="00ED3F70">
        <w:rPr>
          <w:sz w:val="24"/>
          <w:szCs w:val="24"/>
        </w:rPr>
        <w:t>e</w:t>
      </w:r>
      <w:r w:rsidR="00553F05">
        <w:rPr>
          <w:sz w:val="24"/>
          <w:szCs w:val="24"/>
        </w:rPr>
        <w:t>n caso</w:t>
      </w:r>
      <w:r w:rsidR="00ED3F70">
        <w:rPr>
          <w:sz w:val="24"/>
          <w:szCs w:val="24"/>
        </w:rPr>
        <w:t xml:space="preserve"> hubiera otorgado</w:t>
      </w:r>
      <w:r w:rsidR="00735E2D">
        <w:rPr>
          <w:sz w:val="24"/>
          <w:szCs w:val="24"/>
        </w:rPr>
        <w:t xml:space="preserve"> </w:t>
      </w:r>
      <w:r w:rsidR="00ED3F70">
        <w:rPr>
          <w:sz w:val="24"/>
          <w:szCs w:val="24"/>
        </w:rPr>
        <w:t xml:space="preserve">un número de días como </w:t>
      </w:r>
      <w:r w:rsidR="00881DFC">
        <w:rPr>
          <w:sz w:val="24"/>
          <w:szCs w:val="24"/>
        </w:rPr>
        <w:t>ampliación</w:t>
      </w:r>
      <w:r w:rsidR="00ED3F70">
        <w:rPr>
          <w:sz w:val="24"/>
          <w:szCs w:val="24"/>
        </w:rPr>
        <w:t xml:space="preserve">, </w:t>
      </w:r>
      <w:r w:rsidR="00642DE6">
        <w:rPr>
          <w:sz w:val="24"/>
          <w:szCs w:val="24"/>
        </w:rPr>
        <w:t>dicho plazo</w:t>
      </w:r>
      <w:r w:rsidR="005D59F9">
        <w:rPr>
          <w:sz w:val="24"/>
          <w:szCs w:val="24"/>
        </w:rPr>
        <w:t xml:space="preserve"> </w:t>
      </w:r>
      <w:r w:rsidR="00881DFC">
        <w:rPr>
          <w:sz w:val="24"/>
          <w:szCs w:val="24"/>
        </w:rPr>
        <w:t>debía adicionarse al plazo inicialmente pactado.</w:t>
      </w:r>
    </w:p>
    <w:p w:rsidR="00A956D6" w:rsidRPr="009D34AF" w:rsidRDefault="00A956D6" w:rsidP="00A956D6">
      <w:pPr>
        <w:pStyle w:val="Prrafodelista"/>
        <w:ind w:left="0"/>
        <w:jc w:val="both"/>
        <w:rPr>
          <w:sz w:val="24"/>
          <w:szCs w:val="24"/>
          <w:lang w:val="es-ES_tradnl"/>
        </w:rPr>
      </w:pPr>
    </w:p>
    <w:p w:rsidR="00A956D6" w:rsidRDefault="00A956D6" w:rsidP="00A956D6">
      <w:pPr>
        <w:pStyle w:val="Prrafodelista"/>
        <w:ind w:left="567" w:hanging="567"/>
        <w:jc w:val="both"/>
        <w:rPr>
          <w:rFonts w:eastAsia="MS Mincho"/>
          <w:sz w:val="24"/>
          <w:szCs w:val="24"/>
          <w:lang w:val="es-PE"/>
        </w:rPr>
      </w:pPr>
      <w:r w:rsidRPr="00C40BE7">
        <w:rPr>
          <w:rFonts w:eastAsia="MS Mincho"/>
          <w:b/>
          <w:sz w:val="24"/>
          <w:szCs w:val="24"/>
          <w:lang w:val="es-PE"/>
        </w:rPr>
        <w:t>2.2</w:t>
      </w:r>
      <w:r w:rsidRPr="00C40BE7">
        <w:rPr>
          <w:rFonts w:eastAsia="MS Mincho"/>
          <w:b/>
          <w:sz w:val="24"/>
          <w:szCs w:val="24"/>
          <w:lang w:val="es-PE"/>
        </w:rPr>
        <w:tab/>
      </w:r>
      <w:r>
        <w:rPr>
          <w:rFonts w:eastAsia="MS Mincho"/>
          <w:b/>
          <w:sz w:val="24"/>
          <w:szCs w:val="24"/>
          <w:lang w:val="es-PE"/>
        </w:rPr>
        <w:t>“</w:t>
      </w:r>
      <w:r w:rsidR="00055686" w:rsidRPr="00055686">
        <w:rPr>
          <w:rFonts w:eastAsia="MS Mincho"/>
          <w:b/>
          <w:i/>
          <w:sz w:val="24"/>
          <w:szCs w:val="24"/>
          <w:lang w:val="es-PE"/>
        </w:rPr>
        <w:t>Una entidad aprueba una prestación adicional, ¿Cuándo empieza su ejecución al día siguiente que la entidad cumpla con notificar al contratista la resolución que aprueba la prestación adicional o al día siguiente que la entidad notifica al contratista la aprobación de la ampliación de plazo para la ejecución de la prestación adicional?</w:t>
      </w:r>
      <w:r>
        <w:rPr>
          <w:rFonts w:eastAsia="MS Mincho"/>
          <w:b/>
          <w:sz w:val="24"/>
          <w:szCs w:val="24"/>
          <w:lang w:val="es-PE"/>
        </w:rPr>
        <w:t xml:space="preserve">” </w:t>
      </w:r>
      <w:r w:rsidRPr="00554AAF">
        <w:rPr>
          <w:rFonts w:eastAsia="MS Mincho"/>
          <w:sz w:val="24"/>
          <w:szCs w:val="24"/>
          <w:lang w:val="es-PE"/>
        </w:rPr>
        <w:t>(sic).</w:t>
      </w:r>
    </w:p>
    <w:p w:rsidR="00A956D6" w:rsidRDefault="00A956D6" w:rsidP="00A956D6">
      <w:pPr>
        <w:pStyle w:val="Prrafodelista"/>
        <w:ind w:left="567" w:hanging="567"/>
        <w:jc w:val="both"/>
        <w:rPr>
          <w:rFonts w:eastAsia="MS Mincho"/>
          <w:b/>
          <w:sz w:val="24"/>
          <w:szCs w:val="24"/>
          <w:lang w:val="es-PE"/>
        </w:rPr>
      </w:pPr>
    </w:p>
    <w:p w:rsidR="00A956D6" w:rsidRPr="00667372" w:rsidRDefault="00A956D6" w:rsidP="00F039D1">
      <w:pPr>
        <w:pStyle w:val="Prrafodelista"/>
        <w:ind w:left="567" w:hanging="567"/>
        <w:jc w:val="both"/>
        <w:rPr>
          <w:sz w:val="24"/>
          <w:szCs w:val="24"/>
        </w:rPr>
      </w:pPr>
      <w:r w:rsidRPr="00554AAF">
        <w:rPr>
          <w:rFonts w:eastAsia="MS Mincho"/>
          <w:sz w:val="24"/>
          <w:szCs w:val="24"/>
          <w:lang w:val="es-PE"/>
        </w:rPr>
        <w:t>2.2.1</w:t>
      </w:r>
      <w:r w:rsidR="00F039D1">
        <w:rPr>
          <w:rFonts w:eastAsia="MS Mincho"/>
          <w:sz w:val="24"/>
          <w:szCs w:val="24"/>
          <w:lang w:val="es-PE"/>
        </w:rPr>
        <w:tab/>
      </w:r>
      <w:r w:rsidR="00DC28D9" w:rsidRPr="00667372">
        <w:rPr>
          <w:rFonts w:eastAsia="MS Mincho"/>
          <w:sz w:val="24"/>
          <w:szCs w:val="24"/>
          <w:lang w:val="es-PE"/>
        </w:rPr>
        <w:t xml:space="preserve">Sobre el particular, </w:t>
      </w:r>
      <w:r w:rsidR="00AA613D" w:rsidRPr="00667372">
        <w:rPr>
          <w:rFonts w:eastAsia="MS Mincho"/>
          <w:sz w:val="24"/>
          <w:szCs w:val="24"/>
          <w:lang w:val="es-PE"/>
        </w:rPr>
        <w:t>cabe señalar</w:t>
      </w:r>
      <w:r w:rsidR="003E460D">
        <w:rPr>
          <w:rFonts w:eastAsia="MS Mincho"/>
          <w:sz w:val="24"/>
          <w:szCs w:val="24"/>
          <w:lang w:val="es-PE"/>
        </w:rPr>
        <w:t xml:space="preserve"> que, de</w:t>
      </w:r>
      <w:r w:rsidR="00255946">
        <w:rPr>
          <w:rFonts w:eastAsia="MS Mincho"/>
          <w:sz w:val="24"/>
          <w:szCs w:val="24"/>
          <w:lang w:val="es-PE"/>
        </w:rPr>
        <w:t xml:space="preserve"> conformidad con </w:t>
      </w:r>
      <w:r w:rsidR="00DC28D9" w:rsidRPr="00667372">
        <w:rPr>
          <w:rFonts w:eastAsia="MS Mincho"/>
          <w:sz w:val="24"/>
          <w:szCs w:val="24"/>
          <w:lang w:val="es-PE"/>
        </w:rPr>
        <w:t>el noveno párrafo del artículo 207 del an</w:t>
      </w:r>
      <w:r w:rsidR="00AA613D" w:rsidRPr="00667372">
        <w:rPr>
          <w:rFonts w:eastAsia="MS Mincho"/>
          <w:sz w:val="24"/>
          <w:szCs w:val="24"/>
          <w:lang w:val="es-PE"/>
        </w:rPr>
        <w:t>terior Reglamento</w:t>
      </w:r>
      <w:r w:rsidR="00255946">
        <w:rPr>
          <w:rFonts w:eastAsia="MS Mincho"/>
          <w:sz w:val="24"/>
          <w:szCs w:val="24"/>
          <w:lang w:val="es-PE"/>
        </w:rPr>
        <w:t>,</w:t>
      </w:r>
      <w:r w:rsidR="00AA613D" w:rsidRPr="00667372">
        <w:rPr>
          <w:rFonts w:eastAsia="MS Mincho"/>
          <w:sz w:val="24"/>
          <w:szCs w:val="24"/>
          <w:lang w:val="es-PE"/>
        </w:rPr>
        <w:t xml:space="preserve"> </w:t>
      </w:r>
      <w:r w:rsidR="00AA613D" w:rsidRPr="00667372">
        <w:rPr>
          <w:sz w:val="24"/>
          <w:szCs w:val="24"/>
        </w:rPr>
        <w:t xml:space="preserve">cuando la Entidad </w:t>
      </w:r>
      <w:r w:rsidR="00255946" w:rsidRPr="00667372">
        <w:rPr>
          <w:sz w:val="24"/>
          <w:szCs w:val="24"/>
        </w:rPr>
        <w:t>dec</w:t>
      </w:r>
      <w:r w:rsidR="00255946">
        <w:rPr>
          <w:sz w:val="24"/>
          <w:szCs w:val="24"/>
        </w:rPr>
        <w:t>idía</w:t>
      </w:r>
      <w:r w:rsidR="00DC28D9" w:rsidRPr="00667372">
        <w:rPr>
          <w:sz w:val="24"/>
          <w:szCs w:val="24"/>
        </w:rPr>
        <w:t xml:space="preserve"> autorizar la ejecución de la prestación adicional de obra, </w:t>
      </w:r>
      <w:r w:rsidR="00DC28D9" w:rsidRPr="00667372">
        <w:rPr>
          <w:sz w:val="24"/>
          <w:szCs w:val="24"/>
          <w:u w:val="single"/>
        </w:rPr>
        <w:t>al momento de notificar la respectiva resoluc</w:t>
      </w:r>
      <w:r w:rsidR="00255946">
        <w:rPr>
          <w:sz w:val="24"/>
          <w:szCs w:val="24"/>
          <w:u w:val="single"/>
        </w:rPr>
        <w:t>ión al contratista, también debía</w:t>
      </w:r>
      <w:r w:rsidR="00DC28D9" w:rsidRPr="00667372">
        <w:rPr>
          <w:sz w:val="24"/>
          <w:szCs w:val="24"/>
          <w:u w:val="single"/>
        </w:rPr>
        <w:t xml:space="preserve"> entregarle el expediente técnico de dicha prestación</w:t>
      </w:r>
      <w:r w:rsidR="00DC28D9" w:rsidRPr="00667372">
        <w:rPr>
          <w:sz w:val="24"/>
          <w:szCs w:val="24"/>
        </w:rPr>
        <w:t>, debidamente aprobado</w:t>
      </w:r>
      <w:r w:rsidR="00667372">
        <w:rPr>
          <w:sz w:val="24"/>
          <w:szCs w:val="24"/>
        </w:rPr>
        <w:t>.</w:t>
      </w:r>
    </w:p>
    <w:p w:rsidR="00DC28D9" w:rsidRDefault="00DC28D9" w:rsidP="00F039D1">
      <w:pPr>
        <w:pStyle w:val="Prrafodelista"/>
        <w:ind w:left="567" w:hanging="567"/>
        <w:jc w:val="both"/>
        <w:rPr>
          <w:sz w:val="24"/>
          <w:szCs w:val="24"/>
        </w:rPr>
      </w:pPr>
    </w:p>
    <w:p w:rsidR="00055686" w:rsidRPr="00B22E74" w:rsidRDefault="00DC28D9" w:rsidP="00CB1F52">
      <w:pPr>
        <w:pStyle w:val="Prrafodelista"/>
        <w:ind w:left="567" w:hanging="567"/>
        <w:jc w:val="both"/>
        <w:rPr>
          <w:rFonts w:eastAsia="MS Mincho"/>
          <w:sz w:val="24"/>
          <w:szCs w:val="24"/>
        </w:rPr>
      </w:pPr>
      <w:r>
        <w:rPr>
          <w:sz w:val="24"/>
          <w:szCs w:val="24"/>
        </w:rPr>
        <w:tab/>
      </w:r>
      <w:r w:rsidR="00255946" w:rsidRPr="006A26DB">
        <w:rPr>
          <w:sz w:val="24"/>
          <w:szCs w:val="24"/>
        </w:rPr>
        <w:t>En relación con lo anterior</w:t>
      </w:r>
      <w:r w:rsidR="00476B09" w:rsidRPr="006A26DB">
        <w:rPr>
          <w:sz w:val="24"/>
          <w:szCs w:val="24"/>
        </w:rPr>
        <w:t xml:space="preserve">, </w:t>
      </w:r>
      <w:r w:rsidR="00B22E74" w:rsidRPr="006A26DB">
        <w:rPr>
          <w:sz w:val="24"/>
          <w:szCs w:val="24"/>
        </w:rPr>
        <w:t xml:space="preserve">es importante precisar que </w:t>
      </w:r>
      <w:r w:rsidR="00B22E74" w:rsidRPr="00B34427">
        <w:rPr>
          <w:sz w:val="24"/>
          <w:szCs w:val="24"/>
          <w:highlight w:val="yellow"/>
        </w:rPr>
        <w:t xml:space="preserve">-en principio- la </w:t>
      </w:r>
      <w:r w:rsidR="004E78A6" w:rsidRPr="00B34427">
        <w:rPr>
          <w:sz w:val="24"/>
          <w:szCs w:val="24"/>
          <w:highlight w:val="yellow"/>
        </w:rPr>
        <w:t xml:space="preserve">ejecución de una prestación adicional de obra </w:t>
      </w:r>
      <w:bookmarkStart w:id="0" w:name="_GoBack"/>
      <w:bookmarkEnd w:id="0"/>
      <w:r w:rsidR="004E78A6" w:rsidRPr="00B34427">
        <w:rPr>
          <w:sz w:val="24"/>
          <w:szCs w:val="24"/>
          <w:highlight w:val="yellow"/>
        </w:rPr>
        <w:t xml:space="preserve">debía iniciarse al día siguiente de </w:t>
      </w:r>
      <w:r w:rsidR="00EA4E5D" w:rsidRPr="00B34427">
        <w:rPr>
          <w:sz w:val="24"/>
          <w:szCs w:val="24"/>
          <w:highlight w:val="yellow"/>
        </w:rPr>
        <w:t>haberse notificado</w:t>
      </w:r>
      <w:r w:rsidR="004E78A6" w:rsidRPr="00B34427">
        <w:rPr>
          <w:sz w:val="24"/>
          <w:szCs w:val="24"/>
          <w:highlight w:val="yellow"/>
        </w:rPr>
        <w:t xml:space="preserve"> la resolución que disponía su aprobación y entregado el expediente técnico de dicho adicional; no obstante, en determinados casos, la programación correspondiente podía determinar que la ejecución de las nuevas o mayores partidas y/o actividades fuera iniciada en un momento posterior</w:t>
      </w:r>
      <w:r w:rsidR="004E78A6" w:rsidRPr="006A26DB">
        <w:rPr>
          <w:sz w:val="24"/>
          <w:szCs w:val="24"/>
        </w:rPr>
        <w:t>.</w:t>
      </w:r>
    </w:p>
    <w:p w:rsidR="00055686" w:rsidRDefault="00055686" w:rsidP="00F039D1">
      <w:pPr>
        <w:pStyle w:val="Prrafodelista"/>
        <w:ind w:left="567" w:hanging="567"/>
        <w:jc w:val="both"/>
        <w:rPr>
          <w:rFonts w:eastAsia="MS Mincho"/>
          <w:sz w:val="24"/>
          <w:szCs w:val="24"/>
          <w:lang w:val="es-PE"/>
        </w:rPr>
      </w:pPr>
      <w:r w:rsidRPr="00055686">
        <w:rPr>
          <w:rFonts w:eastAsia="MS Mincho"/>
          <w:b/>
          <w:sz w:val="24"/>
          <w:szCs w:val="24"/>
          <w:lang w:val="es-PE"/>
        </w:rPr>
        <w:lastRenderedPageBreak/>
        <w:t>2.3</w:t>
      </w:r>
      <w:r w:rsidRPr="00055686">
        <w:rPr>
          <w:rFonts w:eastAsia="MS Mincho"/>
          <w:b/>
          <w:sz w:val="24"/>
          <w:szCs w:val="24"/>
          <w:lang w:val="es-PE"/>
        </w:rPr>
        <w:tab/>
        <w:t>“</w:t>
      </w:r>
      <w:r w:rsidR="00C16ED8" w:rsidRPr="00C16ED8">
        <w:rPr>
          <w:rFonts w:eastAsia="MS Mincho"/>
          <w:b/>
          <w:i/>
          <w:sz w:val="24"/>
          <w:szCs w:val="24"/>
          <w:lang w:val="es-PE"/>
        </w:rPr>
        <w:t>Una entidad aprueba una ampliación de plazo y notifica al contratista, el contratista presenta el calendario valorizado actualizado al termino</w:t>
      </w:r>
      <w:r w:rsidR="00003FCA">
        <w:rPr>
          <w:rFonts w:eastAsia="MS Mincho"/>
          <w:b/>
          <w:i/>
          <w:sz w:val="24"/>
          <w:szCs w:val="24"/>
          <w:lang w:val="es-PE"/>
        </w:rPr>
        <w:t xml:space="preserve"> de </w:t>
      </w:r>
      <w:r w:rsidR="00C16ED8" w:rsidRPr="00C16ED8">
        <w:rPr>
          <w:rFonts w:eastAsia="MS Mincho"/>
          <w:b/>
          <w:i/>
          <w:sz w:val="24"/>
          <w:szCs w:val="24"/>
          <w:lang w:val="es-PE"/>
        </w:rPr>
        <w:t>obra considerando una fecha de término diferente a la fecha de término que la entidad aprobó así como el mencionado calendario no tiene la firma del representante legal ¿el calendario valorizado actualizado que presento el contratista es correcto y tiene valor legal?</w:t>
      </w:r>
      <w:r w:rsidRPr="00055686">
        <w:rPr>
          <w:rFonts w:eastAsia="MS Mincho"/>
          <w:b/>
          <w:sz w:val="24"/>
          <w:szCs w:val="24"/>
          <w:lang w:val="es-PE"/>
        </w:rPr>
        <w:t>”</w:t>
      </w:r>
      <w:r>
        <w:rPr>
          <w:rFonts w:eastAsia="MS Mincho"/>
          <w:sz w:val="24"/>
          <w:szCs w:val="24"/>
          <w:lang w:val="es-PE"/>
        </w:rPr>
        <w:t xml:space="preserve"> (sic).</w:t>
      </w:r>
    </w:p>
    <w:p w:rsidR="00055686" w:rsidRDefault="00055686" w:rsidP="00F039D1">
      <w:pPr>
        <w:pStyle w:val="Prrafodelista"/>
        <w:ind w:left="567" w:hanging="567"/>
        <w:jc w:val="both"/>
        <w:rPr>
          <w:sz w:val="24"/>
          <w:szCs w:val="24"/>
        </w:rPr>
      </w:pPr>
    </w:p>
    <w:p w:rsidR="00F67AB3" w:rsidRDefault="00055686" w:rsidP="00F039D1">
      <w:pPr>
        <w:pStyle w:val="Prrafodelista"/>
        <w:ind w:left="567" w:hanging="567"/>
        <w:jc w:val="both"/>
        <w:rPr>
          <w:sz w:val="24"/>
          <w:szCs w:val="24"/>
        </w:rPr>
      </w:pPr>
      <w:r>
        <w:rPr>
          <w:sz w:val="24"/>
          <w:szCs w:val="24"/>
        </w:rPr>
        <w:t>2.3.1</w:t>
      </w:r>
      <w:r>
        <w:rPr>
          <w:sz w:val="24"/>
          <w:szCs w:val="24"/>
        </w:rPr>
        <w:tab/>
      </w:r>
      <w:r w:rsidR="00497590" w:rsidRPr="00497590">
        <w:rPr>
          <w:sz w:val="24"/>
          <w:szCs w:val="24"/>
        </w:rPr>
        <w:t xml:space="preserve">Al respecto, debe indicarse que el sexto párrafo del </w:t>
      </w:r>
      <w:r w:rsidR="00497590" w:rsidRPr="00497590">
        <w:rPr>
          <w:rFonts w:eastAsia="MS Mincho"/>
          <w:sz w:val="24"/>
          <w:szCs w:val="24"/>
          <w:lang w:val="es-PE"/>
        </w:rPr>
        <w:t>artículo 201 del anterior Reglamento establecía que “</w:t>
      </w:r>
      <w:r w:rsidR="00497590" w:rsidRPr="00497590">
        <w:rPr>
          <w:i/>
          <w:sz w:val="24"/>
          <w:szCs w:val="24"/>
        </w:rPr>
        <w:t xml:space="preserve">La ampliación de plazo obligará al contratista a presentar al inspector o supervisor un calendario de avance de obra valorizado actualizado y la programación PERTCPM correspondiente, considerando para ello sólo las partidas que se han visto afectadas y </w:t>
      </w:r>
      <w:r w:rsidR="00497590" w:rsidRPr="004E54FD">
        <w:rPr>
          <w:b/>
          <w:i/>
          <w:sz w:val="24"/>
          <w:szCs w:val="24"/>
          <w:u w:val="single"/>
        </w:rPr>
        <w:t>en armonía con la ampliación de plazo concedida</w:t>
      </w:r>
      <w:r w:rsidR="00497590" w:rsidRPr="004E54FD">
        <w:rPr>
          <w:i/>
          <w:sz w:val="24"/>
          <w:szCs w:val="24"/>
          <w:u w:val="single"/>
        </w:rPr>
        <w:t>, en un plazo que no excederá de diez (10) días contados a partir del día siguiente de la fecha de notificación al contratista de la Resolución que aprueba la ampliación de plazo</w:t>
      </w:r>
      <w:r w:rsidR="00497590" w:rsidRPr="00497590">
        <w:rPr>
          <w:i/>
          <w:sz w:val="24"/>
          <w:szCs w:val="24"/>
        </w:rPr>
        <w:t xml:space="preserve">. El inspector o supervisor deberá elevarlos a la Entidad, </w:t>
      </w:r>
      <w:r w:rsidR="00497590" w:rsidRPr="004E54FD">
        <w:rPr>
          <w:i/>
          <w:sz w:val="24"/>
          <w:szCs w:val="24"/>
          <w:u w:val="single"/>
        </w:rPr>
        <w:t>con los reajustes concordados con el residente</w:t>
      </w:r>
      <w:r w:rsidR="00497590" w:rsidRPr="00497590">
        <w:rPr>
          <w:i/>
          <w:sz w:val="24"/>
          <w:szCs w:val="24"/>
        </w:rPr>
        <w:t xml:space="preserve">, en un plazo máximo de siete (7) días, contados a partir de la recepción del nuevo calendario presentado por el contratista. En un plazo no mayor de siete (7) días, contados a partir del día siguiente de la recepción del informe del inspector o supervisor, </w:t>
      </w:r>
      <w:r w:rsidR="00497590" w:rsidRPr="004E54FD">
        <w:rPr>
          <w:i/>
          <w:sz w:val="24"/>
          <w:szCs w:val="24"/>
          <w:u w:val="single"/>
        </w:rPr>
        <w:t>la Entidad deberá pronunciarse sobre dicho calendario</w:t>
      </w:r>
      <w:r w:rsidR="00497590" w:rsidRPr="00497590">
        <w:rPr>
          <w:i/>
          <w:sz w:val="24"/>
          <w:szCs w:val="24"/>
        </w:rPr>
        <w:t>, el mismo que, una vez aprobado, reemplazará en todos sus efectos al anterior. De no pronunciarse la Entidad en el plazo señalado, se tendrá por aprobado el calendario elevado por el inspector o supervisor.</w:t>
      </w:r>
      <w:r w:rsidR="00497590" w:rsidRPr="00497590">
        <w:rPr>
          <w:sz w:val="24"/>
          <w:szCs w:val="24"/>
        </w:rPr>
        <w:t>”</w:t>
      </w:r>
      <w:r w:rsidR="004E54FD">
        <w:rPr>
          <w:sz w:val="24"/>
          <w:szCs w:val="24"/>
        </w:rPr>
        <w:t xml:space="preserve"> (El subrayado y resaltado son agregados).</w:t>
      </w:r>
    </w:p>
    <w:p w:rsidR="004E54FD" w:rsidRDefault="004E54FD" w:rsidP="00F039D1">
      <w:pPr>
        <w:pStyle w:val="Prrafodelista"/>
        <w:ind w:left="567" w:hanging="567"/>
        <w:jc w:val="both"/>
        <w:rPr>
          <w:sz w:val="24"/>
          <w:szCs w:val="24"/>
        </w:rPr>
      </w:pPr>
    </w:p>
    <w:p w:rsidR="00B307BD" w:rsidRDefault="004E54FD" w:rsidP="00CD14DE">
      <w:pPr>
        <w:pStyle w:val="Prrafodelista"/>
        <w:ind w:left="567" w:hanging="567"/>
        <w:jc w:val="both"/>
        <w:rPr>
          <w:sz w:val="24"/>
          <w:szCs w:val="24"/>
        </w:rPr>
      </w:pPr>
      <w:r>
        <w:rPr>
          <w:sz w:val="24"/>
          <w:szCs w:val="24"/>
        </w:rPr>
        <w:tab/>
      </w:r>
      <w:r w:rsidR="00B307BD" w:rsidRPr="00B307BD">
        <w:rPr>
          <w:sz w:val="24"/>
          <w:szCs w:val="24"/>
        </w:rPr>
        <w:t xml:space="preserve">Así, cuando </w:t>
      </w:r>
      <w:r w:rsidR="00CD14DE">
        <w:rPr>
          <w:sz w:val="24"/>
          <w:szCs w:val="24"/>
        </w:rPr>
        <w:t>se</w:t>
      </w:r>
      <w:r w:rsidR="00B307BD" w:rsidRPr="00B307BD">
        <w:rPr>
          <w:sz w:val="24"/>
          <w:szCs w:val="24"/>
        </w:rPr>
        <w:t xml:space="preserve"> otorgaba una ampliación de plazo</w:t>
      </w:r>
      <w:r w:rsidR="006149DA">
        <w:rPr>
          <w:sz w:val="24"/>
          <w:szCs w:val="24"/>
        </w:rPr>
        <w:t>,</w:t>
      </w:r>
      <w:r w:rsidR="00B307BD" w:rsidRPr="00B307BD">
        <w:rPr>
          <w:sz w:val="24"/>
          <w:szCs w:val="24"/>
        </w:rPr>
        <w:t xml:space="preserve"> el contratista se encontraba obligado a </w:t>
      </w:r>
      <w:r w:rsidR="00B307BD" w:rsidRPr="00BA560C">
        <w:rPr>
          <w:sz w:val="24"/>
          <w:szCs w:val="24"/>
          <w:u w:val="single"/>
        </w:rPr>
        <w:t xml:space="preserve">presentar un calendario de avance de </w:t>
      </w:r>
      <w:r w:rsidR="00C430E2" w:rsidRPr="00BA560C">
        <w:rPr>
          <w:sz w:val="24"/>
          <w:szCs w:val="24"/>
          <w:u w:val="single"/>
        </w:rPr>
        <w:t>obra valorizado actualizado así como una</w:t>
      </w:r>
      <w:r w:rsidR="00B307BD" w:rsidRPr="00BA560C">
        <w:rPr>
          <w:sz w:val="24"/>
          <w:szCs w:val="24"/>
          <w:u w:val="single"/>
        </w:rPr>
        <w:t xml:space="preserve"> programación PERTCPM</w:t>
      </w:r>
      <w:r w:rsidR="00B338F1" w:rsidRPr="00BA560C">
        <w:rPr>
          <w:sz w:val="24"/>
          <w:szCs w:val="24"/>
          <w:u w:val="single"/>
        </w:rPr>
        <w:t xml:space="preserve">, </w:t>
      </w:r>
      <w:r w:rsidR="00B338F1">
        <w:rPr>
          <w:b/>
          <w:sz w:val="24"/>
          <w:szCs w:val="24"/>
          <w:u w:val="single"/>
        </w:rPr>
        <w:t>los cuales debían ser elaborados de acuerdo con la ampliación</w:t>
      </w:r>
      <w:r w:rsidR="00BA560C">
        <w:rPr>
          <w:b/>
          <w:sz w:val="24"/>
          <w:szCs w:val="24"/>
          <w:u w:val="single"/>
        </w:rPr>
        <w:t xml:space="preserve"> de plazo otorgada</w:t>
      </w:r>
      <w:r w:rsidR="00682605" w:rsidRPr="00055A83">
        <w:rPr>
          <w:sz w:val="24"/>
          <w:szCs w:val="24"/>
        </w:rPr>
        <w:t xml:space="preserve">; en esa medida, </w:t>
      </w:r>
      <w:r w:rsidR="00682605" w:rsidRPr="00055A83">
        <w:rPr>
          <w:b/>
          <w:sz w:val="24"/>
          <w:szCs w:val="24"/>
          <w:u w:val="single"/>
        </w:rPr>
        <w:t xml:space="preserve">cuando los referidos documentos hubieran sido presentados sin considerar </w:t>
      </w:r>
      <w:r w:rsidR="0078023E">
        <w:rPr>
          <w:b/>
          <w:sz w:val="24"/>
          <w:szCs w:val="24"/>
          <w:u w:val="single"/>
        </w:rPr>
        <w:t xml:space="preserve">el número de </w:t>
      </w:r>
      <w:r w:rsidR="00B338F1" w:rsidRPr="00055A83">
        <w:rPr>
          <w:b/>
          <w:sz w:val="24"/>
          <w:szCs w:val="24"/>
          <w:u w:val="single"/>
        </w:rPr>
        <w:t>días que la Entidad había concedido como ampliación</w:t>
      </w:r>
      <w:r w:rsidR="00B338F1" w:rsidRPr="00055A83">
        <w:rPr>
          <w:sz w:val="24"/>
          <w:szCs w:val="24"/>
          <w:u w:val="single"/>
        </w:rPr>
        <w:t>, el supervisor o</w:t>
      </w:r>
      <w:r w:rsidR="00CD14DE" w:rsidRPr="00055A83">
        <w:rPr>
          <w:sz w:val="24"/>
          <w:szCs w:val="24"/>
          <w:u w:val="single"/>
        </w:rPr>
        <w:t xml:space="preserve"> inspector debía efectuar los ajustes correspondientes con el residente de obra</w:t>
      </w:r>
      <w:r w:rsidR="0082269F">
        <w:rPr>
          <w:sz w:val="24"/>
          <w:szCs w:val="24"/>
          <w:u w:val="single"/>
        </w:rPr>
        <w:t xml:space="preserve">, en caso contrario, </w:t>
      </w:r>
      <w:r w:rsidR="00CD14DE" w:rsidRPr="00055A83">
        <w:rPr>
          <w:sz w:val="24"/>
          <w:szCs w:val="24"/>
          <w:u w:val="single"/>
        </w:rPr>
        <w:t xml:space="preserve">la Entidad </w:t>
      </w:r>
      <w:r w:rsidR="0082269F">
        <w:rPr>
          <w:sz w:val="24"/>
          <w:szCs w:val="24"/>
          <w:u w:val="single"/>
        </w:rPr>
        <w:t>debía</w:t>
      </w:r>
      <w:r w:rsidR="00CD14DE" w:rsidRPr="00055A83">
        <w:rPr>
          <w:sz w:val="24"/>
          <w:szCs w:val="24"/>
          <w:u w:val="single"/>
        </w:rPr>
        <w:t xml:space="preserve"> </w:t>
      </w:r>
      <w:r w:rsidR="00BA560C" w:rsidRPr="00055A83">
        <w:rPr>
          <w:sz w:val="24"/>
          <w:szCs w:val="24"/>
          <w:u w:val="single"/>
        </w:rPr>
        <w:t>emitir un pronunciamiento solicitando la corrección al contratista</w:t>
      </w:r>
      <w:r w:rsidR="00BA560C">
        <w:rPr>
          <w:sz w:val="24"/>
          <w:szCs w:val="24"/>
        </w:rPr>
        <w:t>.</w:t>
      </w:r>
    </w:p>
    <w:p w:rsidR="00CD14DE" w:rsidRDefault="00CD14DE" w:rsidP="00CD14DE">
      <w:pPr>
        <w:pStyle w:val="Prrafodelista"/>
        <w:ind w:left="567" w:hanging="567"/>
        <w:jc w:val="both"/>
        <w:rPr>
          <w:sz w:val="24"/>
          <w:szCs w:val="24"/>
        </w:rPr>
      </w:pPr>
    </w:p>
    <w:p w:rsidR="00CD14DE" w:rsidRPr="00E02831" w:rsidRDefault="00CD14DE" w:rsidP="00CD14DE">
      <w:pPr>
        <w:pStyle w:val="Prrafodelista"/>
        <w:ind w:left="567" w:hanging="567"/>
        <w:jc w:val="both"/>
        <w:rPr>
          <w:sz w:val="24"/>
          <w:szCs w:val="24"/>
        </w:rPr>
      </w:pPr>
      <w:r>
        <w:rPr>
          <w:sz w:val="24"/>
          <w:szCs w:val="24"/>
        </w:rPr>
        <w:tab/>
      </w:r>
      <w:r w:rsidR="00E02831" w:rsidRPr="00E02831">
        <w:rPr>
          <w:sz w:val="24"/>
          <w:szCs w:val="24"/>
        </w:rPr>
        <w:t>Finalmente, es importante señalar que</w:t>
      </w:r>
      <w:r w:rsidR="00B54D0A">
        <w:rPr>
          <w:sz w:val="24"/>
          <w:szCs w:val="24"/>
        </w:rPr>
        <w:t>,</w:t>
      </w:r>
      <w:r w:rsidR="00E02831" w:rsidRPr="00E02831">
        <w:rPr>
          <w:sz w:val="24"/>
          <w:szCs w:val="24"/>
        </w:rPr>
        <w:t xml:space="preserve"> si bien la anterior normativa de contrataciones del Estado no lo </w:t>
      </w:r>
      <w:r w:rsidR="00E02831">
        <w:rPr>
          <w:sz w:val="24"/>
          <w:szCs w:val="24"/>
        </w:rPr>
        <w:t>precisaba</w:t>
      </w:r>
      <w:r w:rsidR="00B54D0A">
        <w:rPr>
          <w:sz w:val="24"/>
          <w:szCs w:val="24"/>
        </w:rPr>
        <w:t xml:space="preserve">, para que se </w:t>
      </w:r>
      <w:r w:rsidR="00E708C6">
        <w:rPr>
          <w:sz w:val="24"/>
          <w:szCs w:val="24"/>
        </w:rPr>
        <w:t xml:space="preserve">cumplan las condiciones y </w:t>
      </w:r>
      <w:r w:rsidR="00ED1841">
        <w:rPr>
          <w:sz w:val="24"/>
          <w:szCs w:val="24"/>
        </w:rPr>
        <w:t>desplieguen los efectos</w:t>
      </w:r>
      <w:r w:rsidR="00B54D0A">
        <w:rPr>
          <w:sz w:val="24"/>
          <w:szCs w:val="24"/>
        </w:rPr>
        <w:t xml:space="preserve"> </w:t>
      </w:r>
      <w:r w:rsidR="00ED1841">
        <w:rPr>
          <w:sz w:val="24"/>
          <w:szCs w:val="24"/>
        </w:rPr>
        <w:t>previstos</w:t>
      </w:r>
      <w:r w:rsidR="00B54D0A">
        <w:rPr>
          <w:sz w:val="24"/>
          <w:szCs w:val="24"/>
        </w:rPr>
        <w:t xml:space="preserve"> en</w:t>
      </w:r>
      <w:r w:rsidR="00E02831">
        <w:rPr>
          <w:sz w:val="24"/>
          <w:szCs w:val="24"/>
        </w:rPr>
        <w:t xml:space="preserve"> </w:t>
      </w:r>
      <w:r w:rsidR="00B54D0A" w:rsidRPr="00497590">
        <w:rPr>
          <w:sz w:val="24"/>
          <w:szCs w:val="24"/>
        </w:rPr>
        <w:t xml:space="preserve">el sexto párrafo del </w:t>
      </w:r>
      <w:r w:rsidR="00B54D0A" w:rsidRPr="00497590">
        <w:rPr>
          <w:rFonts w:eastAsia="MS Mincho"/>
          <w:sz w:val="24"/>
          <w:szCs w:val="24"/>
          <w:lang w:val="es-PE"/>
        </w:rPr>
        <w:t>artículo 201 del anterior Reglamento</w:t>
      </w:r>
      <w:r w:rsidR="00B54D0A">
        <w:rPr>
          <w:rFonts w:eastAsia="MS Mincho"/>
          <w:sz w:val="24"/>
          <w:szCs w:val="24"/>
          <w:lang w:val="es-PE"/>
        </w:rPr>
        <w:t>,</w:t>
      </w:r>
      <w:r w:rsidR="00B54D0A" w:rsidRPr="00E02831">
        <w:rPr>
          <w:sz w:val="24"/>
          <w:szCs w:val="24"/>
        </w:rPr>
        <w:t xml:space="preserve"> </w:t>
      </w:r>
      <w:r w:rsidR="00B54D0A">
        <w:rPr>
          <w:sz w:val="24"/>
          <w:szCs w:val="24"/>
        </w:rPr>
        <w:t xml:space="preserve">era necesario que </w:t>
      </w:r>
      <w:r w:rsidR="00E02831" w:rsidRPr="00E02831">
        <w:rPr>
          <w:sz w:val="24"/>
          <w:szCs w:val="24"/>
        </w:rPr>
        <w:t>el calendario de avance de obra valorizado actualizado así</w:t>
      </w:r>
      <w:r w:rsidR="00E02831">
        <w:rPr>
          <w:sz w:val="24"/>
          <w:szCs w:val="24"/>
        </w:rPr>
        <w:t xml:space="preserve"> como l</w:t>
      </w:r>
      <w:r w:rsidR="00E02831" w:rsidRPr="00E02831">
        <w:rPr>
          <w:sz w:val="24"/>
          <w:szCs w:val="24"/>
        </w:rPr>
        <w:t>a programación PERTCPM</w:t>
      </w:r>
      <w:r w:rsidR="00E02831">
        <w:rPr>
          <w:sz w:val="24"/>
          <w:szCs w:val="24"/>
        </w:rPr>
        <w:t xml:space="preserve"> </w:t>
      </w:r>
      <w:r w:rsidR="00B54D0A">
        <w:rPr>
          <w:sz w:val="24"/>
          <w:szCs w:val="24"/>
        </w:rPr>
        <w:t>fueran</w:t>
      </w:r>
      <w:r w:rsidR="00E02831">
        <w:rPr>
          <w:sz w:val="24"/>
          <w:szCs w:val="24"/>
        </w:rPr>
        <w:t xml:space="preserve"> presentados por el contratista o su representante legal.</w:t>
      </w:r>
    </w:p>
    <w:p w:rsidR="00A956D6" w:rsidRPr="00BC317A" w:rsidRDefault="00A956D6" w:rsidP="00BC317A">
      <w:pPr>
        <w:jc w:val="both"/>
        <w:rPr>
          <w:szCs w:val="24"/>
        </w:rPr>
      </w:pPr>
    </w:p>
    <w:p w:rsidR="00A956D6" w:rsidRPr="00436EAB" w:rsidRDefault="00A956D6" w:rsidP="00A956D6">
      <w:pPr>
        <w:pStyle w:val="Prrafodelista"/>
        <w:numPr>
          <w:ilvl w:val="0"/>
          <w:numId w:val="1"/>
        </w:numPr>
        <w:ind w:left="567" w:hanging="567"/>
        <w:jc w:val="both"/>
        <w:rPr>
          <w:rFonts w:eastAsia="MS Mincho"/>
          <w:b/>
          <w:sz w:val="24"/>
          <w:szCs w:val="24"/>
        </w:rPr>
      </w:pPr>
      <w:r>
        <w:rPr>
          <w:rFonts w:eastAsia="MS Mincho"/>
          <w:b/>
          <w:sz w:val="24"/>
          <w:szCs w:val="24"/>
        </w:rPr>
        <w:t>CONCLUSIONES</w:t>
      </w:r>
    </w:p>
    <w:p w:rsidR="00A956D6" w:rsidRDefault="00A956D6" w:rsidP="00A956D6">
      <w:pPr>
        <w:suppressAutoHyphens w:val="0"/>
        <w:ind w:left="567"/>
        <w:jc w:val="both"/>
        <w:rPr>
          <w:rFonts w:eastAsia="MS Mincho"/>
          <w:szCs w:val="24"/>
          <w:lang w:val="es-ES" w:eastAsia="es-PE"/>
        </w:rPr>
      </w:pPr>
    </w:p>
    <w:p w:rsidR="00A956D6" w:rsidRPr="006A26DB" w:rsidRDefault="00A956D6" w:rsidP="00F039D1">
      <w:pPr>
        <w:ind w:left="567" w:hanging="567"/>
        <w:jc w:val="both"/>
        <w:rPr>
          <w:szCs w:val="24"/>
        </w:rPr>
      </w:pPr>
      <w:r w:rsidRPr="006A26DB">
        <w:rPr>
          <w:szCs w:val="24"/>
        </w:rPr>
        <w:t>3.1</w:t>
      </w:r>
      <w:r w:rsidRPr="006A26DB">
        <w:rPr>
          <w:szCs w:val="24"/>
        </w:rPr>
        <w:tab/>
      </w:r>
      <w:r w:rsidR="000C0DF2" w:rsidRPr="006A26DB">
        <w:rPr>
          <w:szCs w:val="24"/>
        </w:rPr>
        <w:t xml:space="preserve">El contratista debía realizar un análisis de los efectos que la ejecución del adicional de obra tenía sobre el plazo de la obra, con la finalidad de cuantificar y formular su solicitud de ampliación de plazo; en ese sentido, correspondía a la Entidad evaluar la solicitud presentada por el contratista y en caso hubiera otorgado un número de días como ampliación, </w:t>
      </w:r>
      <w:r w:rsidR="00B929A0">
        <w:rPr>
          <w:szCs w:val="24"/>
        </w:rPr>
        <w:t>dicho plazo</w:t>
      </w:r>
      <w:r w:rsidR="005D59F9" w:rsidRPr="006A26DB">
        <w:rPr>
          <w:szCs w:val="24"/>
        </w:rPr>
        <w:t xml:space="preserve"> </w:t>
      </w:r>
      <w:r w:rsidR="000C0DF2" w:rsidRPr="006A26DB">
        <w:rPr>
          <w:szCs w:val="24"/>
        </w:rPr>
        <w:t>debía adicionarse al plazo inicialmente pactado.</w:t>
      </w:r>
    </w:p>
    <w:p w:rsidR="000C0DF2" w:rsidRPr="006A26DB" w:rsidRDefault="000C0DF2" w:rsidP="00F039D1">
      <w:pPr>
        <w:ind w:left="567" w:hanging="567"/>
        <w:jc w:val="both"/>
        <w:rPr>
          <w:szCs w:val="24"/>
        </w:rPr>
      </w:pPr>
    </w:p>
    <w:p w:rsidR="000C0DF2" w:rsidRDefault="000C0DF2" w:rsidP="00F039D1">
      <w:pPr>
        <w:ind w:left="567" w:hanging="567"/>
        <w:jc w:val="both"/>
        <w:rPr>
          <w:szCs w:val="24"/>
        </w:rPr>
      </w:pPr>
      <w:r w:rsidRPr="006A26DB">
        <w:rPr>
          <w:szCs w:val="24"/>
        </w:rPr>
        <w:t>3.2</w:t>
      </w:r>
      <w:r w:rsidRPr="006A26DB">
        <w:rPr>
          <w:szCs w:val="24"/>
        </w:rPr>
        <w:tab/>
      </w:r>
      <w:r w:rsidR="004E297D" w:rsidRPr="006A26DB">
        <w:rPr>
          <w:szCs w:val="24"/>
        </w:rPr>
        <w:t xml:space="preserve">En principio, </w:t>
      </w:r>
      <w:r w:rsidR="00EA4E5D" w:rsidRPr="006A26DB">
        <w:rPr>
          <w:szCs w:val="24"/>
        </w:rPr>
        <w:t xml:space="preserve">la ejecución de una prestación adicional de obra debía iniciarse al día </w:t>
      </w:r>
      <w:r w:rsidR="00EA4E5D" w:rsidRPr="006A26DB">
        <w:rPr>
          <w:szCs w:val="24"/>
        </w:rPr>
        <w:lastRenderedPageBreak/>
        <w:t xml:space="preserve">siguiente de </w:t>
      </w:r>
      <w:r w:rsidR="00EA4E5D">
        <w:rPr>
          <w:szCs w:val="24"/>
        </w:rPr>
        <w:t>haberse notificado</w:t>
      </w:r>
      <w:r w:rsidR="00EA4E5D" w:rsidRPr="006A26DB">
        <w:rPr>
          <w:szCs w:val="24"/>
        </w:rPr>
        <w:t xml:space="preserve"> la resolución que disponía su aprobación y entregado el expediente técnico de dicho adicional; no obstante, en determinados casos, la programación correspondiente podía determinar que la ejecución de las nuevas o mayores partidas y/o actividades fuera iniciada en un momento posterior.</w:t>
      </w:r>
    </w:p>
    <w:p w:rsidR="006149DA" w:rsidRDefault="006149DA" w:rsidP="00F039D1">
      <w:pPr>
        <w:ind w:left="567" w:hanging="567"/>
        <w:jc w:val="both"/>
        <w:rPr>
          <w:szCs w:val="24"/>
        </w:rPr>
      </w:pPr>
    </w:p>
    <w:p w:rsidR="00CD1E8F" w:rsidRDefault="00CD1E8F" w:rsidP="00F039D1">
      <w:pPr>
        <w:ind w:left="567" w:hanging="567"/>
        <w:jc w:val="both"/>
        <w:rPr>
          <w:szCs w:val="24"/>
        </w:rPr>
      </w:pPr>
      <w:r>
        <w:rPr>
          <w:szCs w:val="24"/>
        </w:rPr>
        <w:t>3.3</w:t>
      </w:r>
      <w:r w:rsidRPr="0082269F">
        <w:rPr>
          <w:szCs w:val="24"/>
        </w:rPr>
        <w:tab/>
      </w:r>
      <w:r w:rsidR="0082269F" w:rsidRPr="0082269F">
        <w:rPr>
          <w:szCs w:val="24"/>
        </w:rPr>
        <w:t>Cuando se otorgaba una ampliación de plazo, el contratista se encontraba obligado a presentar un calendario de avance de obra valorizado actualizado así como una programación PERTCPM, los cuales debían ser elaborados de acuerdo con la ampliación de plazo otorgada; en esa medida, cuando los referidos documentos hubieran sido presentados sin considerar el número de días que la Entidad había concedido como ampliación, el supervisor o inspector debía efectuar los ajustes correspondientes con el residente de obra, en caso contrario, la Entidad debía emitir un pronunciamiento solicitando la corrección al contratista.</w:t>
      </w:r>
    </w:p>
    <w:p w:rsidR="0082269F" w:rsidRDefault="0082269F" w:rsidP="00F039D1">
      <w:pPr>
        <w:ind w:left="567" w:hanging="567"/>
        <w:jc w:val="both"/>
        <w:rPr>
          <w:szCs w:val="24"/>
        </w:rPr>
      </w:pPr>
    </w:p>
    <w:p w:rsidR="0082269F" w:rsidRPr="00DB49DB" w:rsidRDefault="0082269F" w:rsidP="00F039D1">
      <w:pPr>
        <w:ind w:left="567" w:hanging="567"/>
        <w:jc w:val="both"/>
      </w:pPr>
      <w:r>
        <w:rPr>
          <w:szCs w:val="24"/>
        </w:rPr>
        <w:t>3.4</w:t>
      </w:r>
      <w:r>
        <w:rPr>
          <w:szCs w:val="24"/>
        </w:rPr>
        <w:tab/>
      </w:r>
      <w:r w:rsidR="00B54D0A">
        <w:rPr>
          <w:szCs w:val="24"/>
        </w:rPr>
        <w:t>S</w:t>
      </w:r>
      <w:r w:rsidR="00B54D0A" w:rsidRPr="00E02831">
        <w:rPr>
          <w:szCs w:val="24"/>
        </w:rPr>
        <w:t xml:space="preserve">i </w:t>
      </w:r>
      <w:r w:rsidR="004C1759" w:rsidRPr="00E02831">
        <w:rPr>
          <w:szCs w:val="24"/>
        </w:rPr>
        <w:t xml:space="preserve">bien la anterior normativa de contrataciones del Estado no lo </w:t>
      </w:r>
      <w:r w:rsidR="004C1759">
        <w:rPr>
          <w:szCs w:val="24"/>
        </w:rPr>
        <w:t xml:space="preserve">precisaba, para que se cumplan las condiciones y desplieguen los efectos previstos en </w:t>
      </w:r>
      <w:r w:rsidR="004C1759" w:rsidRPr="00497590">
        <w:rPr>
          <w:szCs w:val="24"/>
        </w:rPr>
        <w:t xml:space="preserve">el sexto párrafo del </w:t>
      </w:r>
      <w:r w:rsidR="004C1759" w:rsidRPr="00497590">
        <w:rPr>
          <w:rFonts w:eastAsia="MS Mincho"/>
          <w:szCs w:val="24"/>
          <w:lang w:val="es-PE"/>
        </w:rPr>
        <w:t>artículo 201 del anterior Reglamento</w:t>
      </w:r>
      <w:r w:rsidR="004C1759">
        <w:rPr>
          <w:rFonts w:eastAsia="MS Mincho"/>
          <w:szCs w:val="24"/>
          <w:lang w:val="es-PE"/>
        </w:rPr>
        <w:t>,</w:t>
      </w:r>
      <w:r w:rsidR="004C1759" w:rsidRPr="00E02831">
        <w:rPr>
          <w:szCs w:val="24"/>
        </w:rPr>
        <w:t xml:space="preserve"> </w:t>
      </w:r>
      <w:r w:rsidR="004C1759">
        <w:rPr>
          <w:szCs w:val="24"/>
        </w:rPr>
        <w:t xml:space="preserve">era necesario que </w:t>
      </w:r>
      <w:r w:rsidR="004C1759" w:rsidRPr="00E02831">
        <w:rPr>
          <w:szCs w:val="24"/>
        </w:rPr>
        <w:t>el calendario de avance de obra valorizado actualizado así</w:t>
      </w:r>
      <w:r w:rsidR="004C1759">
        <w:rPr>
          <w:szCs w:val="24"/>
        </w:rPr>
        <w:t xml:space="preserve"> como l</w:t>
      </w:r>
      <w:r w:rsidR="004C1759" w:rsidRPr="00E02831">
        <w:rPr>
          <w:szCs w:val="24"/>
        </w:rPr>
        <w:t>a programación PERTCPM</w:t>
      </w:r>
      <w:r w:rsidR="004C1759">
        <w:rPr>
          <w:szCs w:val="24"/>
        </w:rPr>
        <w:t xml:space="preserve"> fueran presentados por el contratista o su representante legal</w:t>
      </w:r>
      <w:r w:rsidR="003B0B6E">
        <w:rPr>
          <w:szCs w:val="24"/>
        </w:rPr>
        <w:t xml:space="preserve">. </w:t>
      </w:r>
    </w:p>
    <w:p w:rsidR="00A956D6" w:rsidRPr="00590B92" w:rsidRDefault="00A956D6" w:rsidP="00A956D6"/>
    <w:p w:rsidR="00A956D6" w:rsidRDefault="00F039D1" w:rsidP="00A956D6">
      <w:pPr>
        <w:suppressAutoHyphens w:val="0"/>
        <w:ind w:left="567"/>
        <w:jc w:val="right"/>
        <w:rPr>
          <w:rFonts w:eastAsia="MS Mincho"/>
          <w:szCs w:val="24"/>
        </w:rPr>
      </w:pPr>
      <w:r>
        <w:rPr>
          <w:rFonts w:eastAsia="MS Mincho"/>
          <w:szCs w:val="24"/>
        </w:rPr>
        <w:t xml:space="preserve">Jesús María, </w:t>
      </w:r>
      <w:r w:rsidR="003B0B6E">
        <w:rPr>
          <w:rFonts w:eastAsia="MS Mincho"/>
          <w:szCs w:val="24"/>
        </w:rPr>
        <w:t>18 de enero de 2018</w:t>
      </w:r>
    </w:p>
    <w:p w:rsidR="00A956D6" w:rsidRDefault="00A956D6" w:rsidP="00A956D6">
      <w:pPr>
        <w:suppressAutoHyphens w:val="0"/>
        <w:ind w:left="567"/>
        <w:jc w:val="right"/>
        <w:rPr>
          <w:rFonts w:eastAsia="MS Mincho"/>
          <w:szCs w:val="24"/>
        </w:rPr>
      </w:pPr>
    </w:p>
    <w:p w:rsidR="00A956D6" w:rsidRDefault="00A956D6" w:rsidP="00A956D6">
      <w:pPr>
        <w:suppressAutoHyphens w:val="0"/>
        <w:ind w:left="567"/>
        <w:jc w:val="right"/>
        <w:rPr>
          <w:rFonts w:eastAsia="MS Mincho"/>
          <w:szCs w:val="24"/>
        </w:rPr>
      </w:pPr>
    </w:p>
    <w:p w:rsidR="00A956D6" w:rsidRDefault="00A956D6" w:rsidP="00A956D6">
      <w:pPr>
        <w:suppressAutoHyphens w:val="0"/>
        <w:ind w:left="567"/>
        <w:jc w:val="right"/>
        <w:rPr>
          <w:rFonts w:eastAsia="MS Mincho"/>
          <w:szCs w:val="24"/>
        </w:rPr>
      </w:pPr>
    </w:p>
    <w:p w:rsidR="00A956D6" w:rsidRPr="00A62CAF" w:rsidRDefault="00A956D6" w:rsidP="00A956D6">
      <w:pPr>
        <w:suppressAutoHyphens w:val="0"/>
        <w:ind w:left="567"/>
        <w:jc w:val="right"/>
        <w:rPr>
          <w:rFonts w:eastAsia="MS Mincho"/>
          <w:szCs w:val="24"/>
        </w:rPr>
      </w:pPr>
    </w:p>
    <w:p w:rsidR="00A956D6" w:rsidRDefault="00A956D6" w:rsidP="00A956D6">
      <w:pPr>
        <w:suppressAutoHyphens w:val="0"/>
        <w:rPr>
          <w:rFonts w:eastAsia="MS Mincho"/>
          <w:szCs w:val="24"/>
        </w:rPr>
      </w:pPr>
    </w:p>
    <w:p w:rsidR="00A956D6" w:rsidRPr="005F6A3B" w:rsidRDefault="00A956D6" w:rsidP="00A956D6">
      <w:pPr>
        <w:suppressAutoHyphens w:val="0"/>
        <w:jc w:val="center"/>
        <w:rPr>
          <w:rFonts w:eastAsia="MS Mincho"/>
          <w:b/>
          <w:szCs w:val="24"/>
        </w:rPr>
      </w:pPr>
      <w:r w:rsidRPr="005F6A3B">
        <w:rPr>
          <w:rFonts w:eastAsia="MS Mincho"/>
          <w:b/>
          <w:szCs w:val="24"/>
        </w:rPr>
        <w:t>PATRICIA SEMINARIO ZAVALA</w:t>
      </w:r>
    </w:p>
    <w:p w:rsidR="00A956D6" w:rsidRPr="00D82B8A" w:rsidRDefault="00A956D6" w:rsidP="00A956D6">
      <w:pPr>
        <w:suppressAutoHyphens w:val="0"/>
        <w:jc w:val="center"/>
        <w:rPr>
          <w:rFonts w:eastAsia="MS Mincho"/>
          <w:b/>
          <w:szCs w:val="24"/>
        </w:rPr>
      </w:pPr>
      <w:r w:rsidRPr="005F6A3B">
        <w:rPr>
          <w:rFonts w:eastAsia="MS Mincho"/>
          <w:b/>
          <w:szCs w:val="24"/>
        </w:rPr>
        <w:t>Directora Técnico Normativa</w:t>
      </w:r>
    </w:p>
    <w:p w:rsidR="00A956D6" w:rsidRDefault="00A956D6" w:rsidP="00A956D6">
      <w:pPr>
        <w:suppressAutoHyphens w:val="0"/>
        <w:rPr>
          <w:rFonts w:eastAsia="MS Mincho"/>
          <w:szCs w:val="24"/>
        </w:rPr>
      </w:pPr>
    </w:p>
    <w:p w:rsidR="00A956D6" w:rsidRPr="002423DA" w:rsidRDefault="00A956D6" w:rsidP="00A956D6">
      <w:pPr>
        <w:suppressAutoHyphens w:val="0"/>
        <w:rPr>
          <w:rFonts w:eastAsia="MS Mincho"/>
          <w:szCs w:val="24"/>
          <w:lang w:val="es-ES"/>
        </w:rPr>
      </w:pPr>
      <w:r>
        <w:rPr>
          <w:rFonts w:eastAsia="MS Mincho"/>
          <w:szCs w:val="24"/>
        </w:rPr>
        <w:t>MAMV.</w:t>
      </w:r>
    </w:p>
    <w:p w:rsidR="005D2F7A" w:rsidRDefault="00833B2B"/>
    <w:sectPr w:rsidR="005D2F7A" w:rsidSect="00881E03">
      <w:headerReference w:type="even" r:id="rId8"/>
      <w:headerReference w:type="default" r:id="rId9"/>
      <w:headerReference w:type="first" r:id="rId10"/>
      <w:pgSz w:w="11906" w:h="16838" w:code="9"/>
      <w:pgMar w:top="1843" w:right="1588" w:bottom="1276" w:left="1588"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2B" w:rsidRDefault="00833B2B" w:rsidP="00A956D6">
      <w:r>
        <w:separator/>
      </w:r>
    </w:p>
  </w:endnote>
  <w:endnote w:type="continuationSeparator" w:id="0">
    <w:p w:rsidR="00833B2B" w:rsidRDefault="00833B2B" w:rsidP="00A9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2B" w:rsidRDefault="00833B2B" w:rsidP="00A956D6">
      <w:r>
        <w:separator/>
      </w:r>
    </w:p>
  </w:footnote>
  <w:footnote w:type="continuationSeparator" w:id="0">
    <w:p w:rsidR="00833B2B" w:rsidRDefault="00833B2B" w:rsidP="00A956D6">
      <w:r>
        <w:continuationSeparator/>
      </w:r>
    </w:p>
  </w:footnote>
  <w:footnote w:id="1">
    <w:p w:rsidR="00A956D6" w:rsidRPr="00A25D52" w:rsidRDefault="00A956D6" w:rsidP="00A956D6">
      <w:pPr>
        <w:pStyle w:val="Textonotapie"/>
        <w:rPr>
          <w:sz w:val="18"/>
          <w:szCs w:val="18"/>
        </w:rPr>
      </w:pPr>
      <w:r w:rsidRPr="00A25D52">
        <w:rPr>
          <w:rStyle w:val="Refdenotaalpie"/>
          <w:sz w:val="18"/>
          <w:szCs w:val="18"/>
        </w:rPr>
        <w:footnoteRef/>
      </w:r>
      <w:r w:rsidRPr="00A25D52">
        <w:rPr>
          <w:sz w:val="18"/>
          <w:szCs w:val="18"/>
        </w:rPr>
        <w:t xml:space="preserve"> Normas vigentes hasta el 8 de enero de 2016.</w:t>
      </w:r>
    </w:p>
  </w:footnote>
  <w:footnote w:id="2">
    <w:p w:rsidR="00530FD8" w:rsidRPr="00D43FD7" w:rsidRDefault="00530FD8" w:rsidP="0000225D">
      <w:pPr>
        <w:pStyle w:val="Prrafodelista"/>
        <w:ind w:left="0"/>
        <w:jc w:val="both"/>
      </w:pPr>
      <w:r w:rsidRPr="00AD2EF1">
        <w:rPr>
          <w:rStyle w:val="Refdenotaalpie"/>
        </w:rPr>
        <w:footnoteRef/>
      </w:r>
      <w:r>
        <w:t xml:space="preserve"> Sobre el particular</w:t>
      </w:r>
      <w:r w:rsidRPr="00AD2EF1">
        <w:t xml:space="preserve">, debe considerarse que </w:t>
      </w:r>
      <w:r>
        <w:t xml:space="preserve">el expediente técnico de la </w:t>
      </w:r>
      <w:r w:rsidRPr="00AD2EF1">
        <w:t>prest</w:t>
      </w:r>
      <w:r w:rsidR="004F06D3">
        <w:t>ación adicional de obra contenía</w:t>
      </w:r>
      <w:r w:rsidRPr="00AD2EF1">
        <w:t>, entre otra información, la descripción de las partida</w:t>
      </w:r>
      <w:r w:rsidR="004F06D3">
        <w:t>s y/o actividades que se tenían</w:t>
      </w:r>
      <w:r w:rsidRPr="00AD2EF1">
        <w:t xml:space="preserve"> que ejecutar en virtud del adicional aprobado, </w:t>
      </w:r>
      <w:r w:rsidR="004F06D3">
        <w:t>así como el plazo que se reque</w:t>
      </w:r>
      <w:r w:rsidRPr="00AD2EF1">
        <w:t>r</w:t>
      </w:r>
      <w:r>
        <w:t>ía para ello; información que</w:t>
      </w:r>
      <w:r w:rsidR="00D43FD7">
        <w:t xml:space="preserve"> permitía</w:t>
      </w:r>
      <w:r w:rsidRPr="00AD2EF1">
        <w:t xml:space="preserve"> realizar un análisis de la necesidad de ampliar el pl</w:t>
      </w:r>
      <w:r w:rsidR="00D43FD7">
        <w:t>azo, en función a si se afectaba o no</w:t>
      </w:r>
      <w:r w:rsidRPr="00AD2EF1">
        <w:t xml:space="preserve"> la ruta crítica del programa de eje</w:t>
      </w:r>
      <w:r w:rsidR="00D43FD7">
        <w:t>cución de obra vigente o si era</w:t>
      </w:r>
      <w:r w:rsidRPr="00AD2EF1">
        <w:t xml:space="preserve"> necesario un mayor plazo para su ejecución.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73" w:rsidRDefault="00A956D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7</w:t>
    </w:r>
    <w:r>
      <w:rPr>
        <w:rStyle w:val="Nmerodepgina"/>
      </w:rPr>
      <w:fldChar w:fldCharType="end"/>
    </w:r>
  </w:p>
  <w:p w:rsidR="006B7073" w:rsidRDefault="00833B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73" w:rsidRDefault="00A956D6">
    <w:pPr>
      <w:pStyle w:val="Encabezado"/>
      <w:framePr w:wrap="around" w:vAnchor="text" w:hAnchor="margin" w:xAlign="center" w:y="1"/>
      <w:rPr>
        <w:rStyle w:val="Nmerodepgina"/>
        <w:sz w:val="20"/>
      </w:rPr>
    </w:pPr>
    <w:r>
      <w:rPr>
        <w:rStyle w:val="Nmerodepgina"/>
        <w:sz w:val="20"/>
      </w:rPr>
      <w:fldChar w:fldCharType="begin"/>
    </w:r>
    <w:r>
      <w:rPr>
        <w:rStyle w:val="Nmerodepgina"/>
        <w:sz w:val="20"/>
      </w:rPr>
      <w:instrText xml:space="preserve">PAGE  </w:instrText>
    </w:r>
    <w:r>
      <w:rPr>
        <w:rStyle w:val="Nmerodepgina"/>
        <w:sz w:val="20"/>
      </w:rPr>
      <w:fldChar w:fldCharType="separate"/>
    </w:r>
    <w:r w:rsidR="0029584A">
      <w:rPr>
        <w:rStyle w:val="Nmerodepgina"/>
        <w:noProof/>
        <w:sz w:val="20"/>
      </w:rPr>
      <w:t>5</w:t>
    </w:r>
    <w:r>
      <w:rPr>
        <w:rStyle w:val="Nmerodepgina"/>
        <w:sz w:val="20"/>
      </w:rPr>
      <w:fldChar w:fldCharType="end"/>
    </w:r>
  </w:p>
  <w:p w:rsidR="006B7073" w:rsidRDefault="00833B2B" w:rsidP="00034A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73" w:rsidRDefault="00A956D6" w:rsidP="00FF5B08">
    <w:pPr>
      <w:ind w:right="-1136"/>
    </w:pPr>
    <w:r>
      <w:rPr>
        <w:b/>
        <w:noProof/>
        <w:lang w:val="es-US" w:eastAsia="es-US"/>
      </w:rPr>
      <w:drawing>
        <wp:anchor distT="0" distB="0" distL="114300" distR="114300" simplePos="0" relativeHeight="251659264" behindDoc="0" locked="0" layoutInCell="1" allowOverlap="1">
          <wp:simplePos x="0" y="0"/>
          <wp:positionH relativeFrom="column">
            <wp:posOffset>4109720</wp:posOffset>
          </wp:positionH>
          <wp:positionV relativeFrom="paragraph">
            <wp:posOffset>-57785</wp:posOffset>
          </wp:positionV>
          <wp:extent cx="1435735" cy="5829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Dirección Técnico Normativa</w:t>
    </w:r>
    <w:r>
      <w:br/>
      <w:t>Opinión</w:t>
    </w:r>
  </w:p>
  <w:p w:rsidR="006B7073" w:rsidRPr="008E5960" w:rsidRDefault="00833B2B" w:rsidP="008E5960">
    <w:pPr>
      <w:pStyle w:val="Encabezado"/>
      <w:rPr>
        <w:sz w:val="28"/>
        <w:szCs w:val="28"/>
      </w:rPr>
    </w:pPr>
  </w:p>
  <w:p w:rsidR="006B7073" w:rsidRPr="004249D8" w:rsidRDefault="00833B2B">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63C13"/>
    <w:multiLevelType w:val="multilevel"/>
    <w:tmpl w:val="C03C76BE"/>
    <w:lvl w:ilvl="0">
      <w:start w:val="1"/>
      <w:numFmt w:val="decimal"/>
      <w:lvlText w:val="%1."/>
      <w:lvlJc w:val="left"/>
      <w:pPr>
        <w:ind w:left="927" w:hanging="360"/>
      </w:pPr>
      <w:rPr>
        <w:rFonts w:hint="default"/>
      </w:rPr>
    </w:lvl>
    <w:lvl w:ilvl="1">
      <w:start w:val="1"/>
      <w:numFmt w:val="decimal"/>
      <w:isLgl/>
      <w:lvlText w:val="%1.%2"/>
      <w:lvlJc w:val="left"/>
      <w:pPr>
        <w:ind w:left="840" w:hanging="840"/>
      </w:pPr>
      <w:rPr>
        <w:rFonts w:hint="default"/>
        <w:b/>
        <w:i w:val="0"/>
        <w:sz w:val="24"/>
        <w:szCs w:val="24"/>
      </w:rPr>
    </w:lvl>
    <w:lvl w:ilvl="2">
      <w:start w:val="1"/>
      <w:numFmt w:val="decimal"/>
      <w:isLgl/>
      <w:lvlText w:val="%1.%2.%3"/>
      <w:lvlJc w:val="left"/>
      <w:pPr>
        <w:ind w:left="1124" w:hanging="840"/>
      </w:pPr>
      <w:rPr>
        <w:rFonts w:hint="default"/>
        <w:i w:val="0"/>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D6"/>
    <w:rsid w:val="0000225D"/>
    <w:rsid w:val="00003FCA"/>
    <w:rsid w:val="0000512F"/>
    <w:rsid w:val="00010867"/>
    <w:rsid w:val="000522BC"/>
    <w:rsid w:val="0005549A"/>
    <w:rsid w:val="00055686"/>
    <w:rsid w:val="00055A83"/>
    <w:rsid w:val="000676FD"/>
    <w:rsid w:val="0007111A"/>
    <w:rsid w:val="000720E5"/>
    <w:rsid w:val="00073D9B"/>
    <w:rsid w:val="00084C38"/>
    <w:rsid w:val="00085A7C"/>
    <w:rsid w:val="000900C8"/>
    <w:rsid w:val="000A3B34"/>
    <w:rsid w:val="000B5574"/>
    <w:rsid w:val="000C0DF2"/>
    <w:rsid w:val="000C4372"/>
    <w:rsid w:val="000C7590"/>
    <w:rsid w:val="000D2AC3"/>
    <w:rsid w:val="000E114E"/>
    <w:rsid w:val="000F522C"/>
    <w:rsid w:val="00103157"/>
    <w:rsid w:val="0011271B"/>
    <w:rsid w:val="00125950"/>
    <w:rsid w:val="001432C7"/>
    <w:rsid w:val="001439FB"/>
    <w:rsid w:val="00152896"/>
    <w:rsid w:val="00156CEA"/>
    <w:rsid w:val="0016794E"/>
    <w:rsid w:val="00176FF3"/>
    <w:rsid w:val="00181CFE"/>
    <w:rsid w:val="00190245"/>
    <w:rsid w:val="00196199"/>
    <w:rsid w:val="001B771E"/>
    <w:rsid w:val="001D775E"/>
    <w:rsid w:val="001E1271"/>
    <w:rsid w:val="001E13FD"/>
    <w:rsid w:val="001F1222"/>
    <w:rsid w:val="001F7845"/>
    <w:rsid w:val="00204E59"/>
    <w:rsid w:val="00206DC5"/>
    <w:rsid w:val="002213CF"/>
    <w:rsid w:val="00223334"/>
    <w:rsid w:val="0023255B"/>
    <w:rsid w:val="00234219"/>
    <w:rsid w:val="00237D3B"/>
    <w:rsid w:val="0024314E"/>
    <w:rsid w:val="002529C8"/>
    <w:rsid w:val="002550ED"/>
    <w:rsid w:val="00255946"/>
    <w:rsid w:val="002872A4"/>
    <w:rsid w:val="00291595"/>
    <w:rsid w:val="00294406"/>
    <w:rsid w:val="0029584A"/>
    <w:rsid w:val="002B0AF4"/>
    <w:rsid w:val="002C30B2"/>
    <w:rsid w:val="002F597A"/>
    <w:rsid w:val="00310166"/>
    <w:rsid w:val="00313C37"/>
    <w:rsid w:val="003216E1"/>
    <w:rsid w:val="003374CD"/>
    <w:rsid w:val="00345DB4"/>
    <w:rsid w:val="00361E15"/>
    <w:rsid w:val="00391A14"/>
    <w:rsid w:val="00392D8C"/>
    <w:rsid w:val="00393602"/>
    <w:rsid w:val="00395F2D"/>
    <w:rsid w:val="0039607F"/>
    <w:rsid w:val="003B0B6E"/>
    <w:rsid w:val="003C26C8"/>
    <w:rsid w:val="003C60DE"/>
    <w:rsid w:val="003D3D1D"/>
    <w:rsid w:val="003D5754"/>
    <w:rsid w:val="003E460D"/>
    <w:rsid w:val="003F0FC6"/>
    <w:rsid w:val="003F50CD"/>
    <w:rsid w:val="003F5ABF"/>
    <w:rsid w:val="0041442B"/>
    <w:rsid w:val="004249D8"/>
    <w:rsid w:val="00430F03"/>
    <w:rsid w:val="00434705"/>
    <w:rsid w:val="004642B7"/>
    <w:rsid w:val="004761E7"/>
    <w:rsid w:val="00476B09"/>
    <w:rsid w:val="00483143"/>
    <w:rsid w:val="00497590"/>
    <w:rsid w:val="00497900"/>
    <w:rsid w:val="004A56E0"/>
    <w:rsid w:val="004B63B1"/>
    <w:rsid w:val="004C1759"/>
    <w:rsid w:val="004E203F"/>
    <w:rsid w:val="004E297D"/>
    <w:rsid w:val="004E54FD"/>
    <w:rsid w:val="004E78A6"/>
    <w:rsid w:val="004F06D3"/>
    <w:rsid w:val="004F1B10"/>
    <w:rsid w:val="005210F1"/>
    <w:rsid w:val="00530FD8"/>
    <w:rsid w:val="00553F05"/>
    <w:rsid w:val="00554C09"/>
    <w:rsid w:val="00556E12"/>
    <w:rsid w:val="0057652C"/>
    <w:rsid w:val="00592560"/>
    <w:rsid w:val="005A5034"/>
    <w:rsid w:val="005B4F67"/>
    <w:rsid w:val="005C20BC"/>
    <w:rsid w:val="005C385C"/>
    <w:rsid w:val="005D59F9"/>
    <w:rsid w:val="005D6558"/>
    <w:rsid w:val="005F3120"/>
    <w:rsid w:val="005F58AA"/>
    <w:rsid w:val="0060354C"/>
    <w:rsid w:val="006149DA"/>
    <w:rsid w:val="006162E5"/>
    <w:rsid w:val="00635A53"/>
    <w:rsid w:val="00642DE6"/>
    <w:rsid w:val="00643288"/>
    <w:rsid w:val="00651574"/>
    <w:rsid w:val="006525F8"/>
    <w:rsid w:val="00662DEA"/>
    <w:rsid w:val="00666B8D"/>
    <w:rsid w:val="00667372"/>
    <w:rsid w:val="00682605"/>
    <w:rsid w:val="00695603"/>
    <w:rsid w:val="006A26DB"/>
    <w:rsid w:val="006A3F98"/>
    <w:rsid w:val="006C097D"/>
    <w:rsid w:val="006C26EF"/>
    <w:rsid w:val="006C52AB"/>
    <w:rsid w:val="007203C0"/>
    <w:rsid w:val="00735E2D"/>
    <w:rsid w:val="00761601"/>
    <w:rsid w:val="0076190C"/>
    <w:rsid w:val="00777E1C"/>
    <w:rsid w:val="0078023E"/>
    <w:rsid w:val="00782244"/>
    <w:rsid w:val="007843AD"/>
    <w:rsid w:val="00794DB1"/>
    <w:rsid w:val="007B5034"/>
    <w:rsid w:val="007D7AA5"/>
    <w:rsid w:val="0082269F"/>
    <w:rsid w:val="00833B2B"/>
    <w:rsid w:val="00851722"/>
    <w:rsid w:val="00860EBC"/>
    <w:rsid w:val="00863C6F"/>
    <w:rsid w:val="008669BF"/>
    <w:rsid w:val="008765D0"/>
    <w:rsid w:val="00881DFC"/>
    <w:rsid w:val="00881E03"/>
    <w:rsid w:val="00882B9F"/>
    <w:rsid w:val="008A5AD1"/>
    <w:rsid w:val="008B39E2"/>
    <w:rsid w:val="008D4A8E"/>
    <w:rsid w:val="008E2956"/>
    <w:rsid w:val="008E69DD"/>
    <w:rsid w:val="008F7F7E"/>
    <w:rsid w:val="0090055F"/>
    <w:rsid w:val="00927BF4"/>
    <w:rsid w:val="009528F7"/>
    <w:rsid w:val="009D6F4D"/>
    <w:rsid w:val="009E2906"/>
    <w:rsid w:val="009F4AC0"/>
    <w:rsid w:val="00A078BB"/>
    <w:rsid w:val="00A22432"/>
    <w:rsid w:val="00A417AB"/>
    <w:rsid w:val="00A4333A"/>
    <w:rsid w:val="00A50866"/>
    <w:rsid w:val="00A62232"/>
    <w:rsid w:val="00A65BFC"/>
    <w:rsid w:val="00A956D6"/>
    <w:rsid w:val="00A95C80"/>
    <w:rsid w:val="00AA4B42"/>
    <w:rsid w:val="00AA613D"/>
    <w:rsid w:val="00AB08B1"/>
    <w:rsid w:val="00AC3036"/>
    <w:rsid w:val="00AE7487"/>
    <w:rsid w:val="00AF31C3"/>
    <w:rsid w:val="00B11E60"/>
    <w:rsid w:val="00B1361C"/>
    <w:rsid w:val="00B17CAF"/>
    <w:rsid w:val="00B22E74"/>
    <w:rsid w:val="00B2324A"/>
    <w:rsid w:val="00B23941"/>
    <w:rsid w:val="00B266D8"/>
    <w:rsid w:val="00B307BD"/>
    <w:rsid w:val="00B338F1"/>
    <w:rsid w:val="00B34427"/>
    <w:rsid w:val="00B40828"/>
    <w:rsid w:val="00B4308A"/>
    <w:rsid w:val="00B5248F"/>
    <w:rsid w:val="00B54D0A"/>
    <w:rsid w:val="00B57573"/>
    <w:rsid w:val="00B77162"/>
    <w:rsid w:val="00B929A0"/>
    <w:rsid w:val="00BA2D00"/>
    <w:rsid w:val="00BA45F2"/>
    <w:rsid w:val="00BA560C"/>
    <w:rsid w:val="00BC317A"/>
    <w:rsid w:val="00BD49B6"/>
    <w:rsid w:val="00BD7C7B"/>
    <w:rsid w:val="00BF700D"/>
    <w:rsid w:val="00C16ED8"/>
    <w:rsid w:val="00C31500"/>
    <w:rsid w:val="00C32E75"/>
    <w:rsid w:val="00C430E2"/>
    <w:rsid w:val="00C73222"/>
    <w:rsid w:val="00C7644A"/>
    <w:rsid w:val="00C80952"/>
    <w:rsid w:val="00CB1F52"/>
    <w:rsid w:val="00CB453B"/>
    <w:rsid w:val="00CD0B60"/>
    <w:rsid w:val="00CD14DE"/>
    <w:rsid w:val="00CD1E8F"/>
    <w:rsid w:val="00CF3DA3"/>
    <w:rsid w:val="00D0657B"/>
    <w:rsid w:val="00D158DE"/>
    <w:rsid w:val="00D23EA3"/>
    <w:rsid w:val="00D303DE"/>
    <w:rsid w:val="00D342BB"/>
    <w:rsid w:val="00D4346E"/>
    <w:rsid w:val="00D43AB4"/>
    <w:rsid w:val="00D43FD7"/>
    <w:rsid w:val="00D70FED"/>
    <w:rsid w:val="00D77633"/>
    <w:rsid w:val="00D95367"/>
    <w:rsid w:val="00DC0B3E"/>
    <w:rsid w:val="00DC28D9"/>
    <w:rsid w:val="00DC59DF"/>
    <w:rsid w:val="00DD6A59"/>
    <w:rsid w:val="00DE098A"/>
    <w:rsid w:val="00DF0E10"/>
    <w:rsid w:val="00E02831"/>
    <w:rsid w:val="00E468B8"/>
    <w:rsid w:val="00E63254"/>
    <w:rsid w:val="00E6622D"/>
    <w:rsid w:val="00E708C6"/>
    <w:rsid w:val="00E817CE"/>
    <w:rsid w:val="00E81E2B"/>
    <w:rsid w:val="00EA2521"/>
    <w:rsid w:val="00EA4E5D"/>
    <w:rsid w:val="00ED1841"/>
    <w:rsid w:val="00ED3F70"/>
    <w:rsid w:val="00ED67B7"/>
    <w:rsid w:val="00F002D4"/>
    <w:rsid w:val="00F039D1"/>
    <w:rsid w:val="00F05AC8"/>
    <w:rsid w:val="00F16692"/>
    <w:rsid w:val="00F33886"/>
    <w:rsid w:val="00F564D8"/>
    <w:rsid w:val="00F67AB3"/>
    <w:rsid w:val="00F83320"/>
    <w:rsid w:val="00FF33F9"/>
    <w:rsid w:val="00FF47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4755B1-BC04-4B26-80B1-DA49E753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D6"/>
    <w:pPr>
      <w:widowControl w:val="0"/>
      <w:suppressAutoHyphens/>
      <w:spacing w:after="0" w:line="240" w:lineRule="auto"/>
    </w:pPr>
    <w:rPr>
      <w:rFonts w:ascii="Times New Roman" w:eastAsia="Times New Roman" w:hAnsi="Times New Roman" w:cs="Times New Roman"/>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956D6"/>
    <w:pPr>
      <w:tabs>
        <w:tab w:val="center" w:pos="4252"/>
        <w:tab w:val="right" w:pos="8504"/>
      </w:tabs>
    </w:pPr>
  </w:style>
  <w:style w:type="character" w:customStyle="1" w:styleId="EncabezadoCar">
    <w:name w:val="Encabezado Car"/>
    <w:basedOn w:val="Fuentedeprrafopredeter"/>
    <w:link w:val="Encabezado"/>
    <w:rsid w:val="00A956D6"/>
    <w:rPr>
      <w:rFonts w:ascii="Times New Roman" w:eastAsia="Times New Roman" w:hAnsi="Times New Roman" w:cs="Times New Roman"/>
      <w:sz w:val="24"/>
      <w:szCs w:val="20"/>
      <w:lang w:val="es-ES_tradnl" w:eastAsia="es-MX"/>
    </w:rPr>
  </w:style>
  <w:style w:type="character" w:styleId="Nmerodepgina">
    <w:name w:val="page number"/>
    <w:basedOn w:val="Fuentedeprrafopredeter"/>
    <w:rsid w:val="00A956D6"/>
  </w:style>
  <w:style w:type="paragraph" w:styleId="Prrafodelista">
    <w:name w:val="List Paragraph"/>
    <w:basedOn w:val="Normal"/>
    <w:link w:val="PrrafodelistaCar"/>
    <w:uiPriority w:val="34"/>
    <w:qFormat/>
    <w:rsid w:val="00A956D6"/>
    <w:pPr>
      <w:widowControl/>
      <w:suppressAutoHyphens w:val="0"/>
      <w:ind w:left="720"/>
      <w:contextualSpacing/>
    </w:pPr>
    <w:rPr>
      <w:sz w:val="20"/>
      <w:lang w:val="es-ES" w:eastAsia="es-PE"/>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 Car2 Car, C, Car2"/>
    <w:basedOn w:val="Normal"/>
    <w:link w:val="TextonotapieCar"/>
    <w:rsid w:val="00A956D6"/>
    <w:pPr>
      <w:ind w:left="283" w:hanging="283"/>
    </w:pPr>
    <w:rPr>
      <w:sz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A956D6"/>
    <w:rPr>
      <w:rFonts w:ascii="Times New Roman" w:eastAsia="Times New Roman" w:hAnsi="Times New Roman" w:cs="Times New Roman"/>
      <w:sz w:val="20"/>
      <w:szCs w:val="20"/>
      <w:lang w:val="es-ES_tradnl" w:eastAsia="es-MX"/>
    </w:rPr>
  </w:style>
  <w:style w:type="character" w:styleId="Refdenotaalpie">
    <w:name w:val="footnote reference"/>
    <w:aliases w:val="FC,16 Point,Superscript 6 Point,Ref,de nota al pie"/>
    <w:rsid w:val="00A956D6"/>
    <w:rPr>
      <w:vertAlign w:val="superscript"/>
    </w:rPr>
  </w:style>
  <w:style w:type="character" w:customStyle="1" w:styleId="PrrafodelistaCar">
    <w:name w:val="Párrafo de lista Car"/>
    <w:link w:val="Prrafodelista"/>
    <w:uiPriority w:val="34"/>
    <w:locked/>
    <w:rsid w:val="00A956D6"/>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4249D8"/>
    <w:pPr>
      <w:tabs>
        <w:tab w:val="center" w:pos="4419"/>
        <w:tab w:val="right" w:pos="8838"/>
      </w:tabs>
    </w:pPr>
  </w:style>
  <w:style w:type="character" w:customStyle="1" w:styleId="PiedepginaCar">
    <w:name w:val="Pie de página Car"/>
    <w:basedOn w:val="Fuentedeprrafopredeter"/>
    <w:link w:val="Piedepgina"/>
    <w:uiPriority w:val="99"/>
    <w:rsid w:val="004249D8"/>
    <w:rPr>
      <w:rFonts w:ascii="Times New Roman" w:eastAsia="Times New Roman" w:hAnsi="Times New Roman" w:cs="Times New Roman"/>
      <w:sz w:val="24"/>
      <w:szCs w:val="20"/>
      <w:lang w:val="es-ES_tradnl" w:eastAsia="es-MX"/>
    </w:rPr>
  </w:style>
  <w:style w:type="paragraph" w:customStyle="1" w:styleId="Default">
    <w:name w:val="Default"/>
    <w:rsid w:val="00B307BD"/>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F47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72F"/>
    <w:rPr>
      <w:rFonts w:ascii="Segoe UI" w:eastAsia="Times New Roman"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D0C2-E166-4C42-B1A5-1FEC8883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Mayta Vía</dc:creator>
  <cp:keywords/>
  <dc:description/>
  <cp:lastModifiedBy>Cuenta Microsoft</cp:lastModifiedBy>
  <cp:revision>3</cp:revision>
  <cp:lastPrinted>2018-01-19T20:38:00Z</cp:lastPrinted>
  <dcterms:created xsi:type="dcterms:W3CDTF">2018-01-19T20:39:00Z</dcterms:created>
  <dcterms:modified xsi:type="dcterms:W3CDTF">2020-11-26T20:57:00Z</dcterms:modified>
</cp:coreProperties>
</file>